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4.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WithEffects.xml" ContentType="application/vnd.ms-word.stylesWithEffect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79" w:rsidRPr="00815ABE" w:rsidRDefault="002405E4" w:rsidP="00981D76">
      <w:pPr>
        <w:pStyle w:val="Dokumentrubrik"/>
      </w:pPr>
      <w:r>
        <w:t>Pharmalundensis ab</w:t>
      </w:r>
      <w:r w:rsidR="005F4BCC">
        <w:t xml:space="preserve"> (publ</w:t>
      </w:r>
      <w:r w:rsidR="002F28E4">
        <w:t>)</w:t>
      </w:r>
      <w:r w:rsidR="00F7589F">
        <w:t xml:space="preserve"> - </w:t>
      </w:r>
      <w:r w:rsidR="00DD3E0E">
        <w:t>förslag till beslut om</w:t>
      </w:r>
      <w:r w:rsidR="00F7589F">
        <w:t xml:space="preserve"> riktad</w:t>
      </w:r>
      <w:r w:rsidR="00DD3E0E">
        <w:t xml:space="preserve"> </w:t>
      </w:r>
      <w:r w:rsidR="00F7589F">
        <w:t xml:space="preserve">emission av </w:t>
      </w:r>
      <w:r w:rsidR="00F7589F" w:rsidRPr="00815ABE">
        <w:t xml:space="preserve">teckningsoptioner </w:t>
      </w:r>
    </w:p>
    <w:p w:rsidR="00F7589F" w:rsidRPr="00F7589F" w:rsidRDefault="002405E4" w:rsidP="00F7589F">
      <w:r w:rsidRPr="002405E4">
        <w:rPr>
          <w:rFonts w:asciiTheme="minorHAnsi" w:hAnsiTheme="minorHAnsi"/>
          <w:color w:val="000000"/>
          <w:szCs w:val="24"/>
        </w:rPr>
        <w:t>SkåneÖrnen AB, Staffan Skogvall och Arne Skogvall (”Förslagsställarna”)</w:t>
      </w:r>
      <w:r w:rsidR="001359BB">
        <w:rPr>
          <w:rFonts w:asciiTheme="minorHAnsi" w:hAnsiTheme="minorHAnsi"/>
          <w:color w:val="000000"/>
          <w:szCs w:val="24"/>
        </w:rPr>
        <w:t>,</w:t>
      </w:r>
      <w:r w:rsidRPr="002405E4">
        <w:rPr>
          <w:rFonts w:asciiTheme="minorHAnsi" w:hAnsiTheme="minorHAnsi"/>
          <w:color w:val="000000"/>
          <w:szCs w:val="24"/>
        </w:rPr>
        <w:t xml:space="preserve"> som tillsammans innehar cirka 62 procent av aktierna och rösterna i </w:t>
      </w:r>
      <w:r>
        <w:rPr>
          <w:rFonts w:asciiTheme="minorHAnsi" w:hAnsiTheme="minorHAnsi"/>
          <w:color w:val="000000"/>
          <w:szCs w:val="24"/>
        </w:rPr>
        <w:t>PharmaLundensis AB (publ)</w:t>
      </w:r>
      <w:r w:rsidR="006676DD" w:rsidRPr="002405E4">
        <w:rPr>
          <w:rFonts w:asciiTheme="minorHAnsi" w:hAnsiTheme="minorHAnsi"/>
          <w:szCs w:val="24"/>
        </w:rPr>
        <w:t>,</w:t>
      </w:r>
      <w:r>
        <w:rPr>
          <w:rFonts w:asciiTheme="minorHAnsi" w:hAnsiTheme="minorHAnsi"/>
          <w:szCs w:val="24"/>
        </w:rPr>
        <w:t xml:space="preserve"> org. nr</w:t>
      </w:r>
      <w:r w:rsidR="006676DD" w:rsidRPr="002405E4">
        <w:rPr>
          <w:rFonts w:asciiTheme="minorHAnsi" w:hAnsiTheme="minorHAnsi"/>
          <w:szCs w:val="24"/>
        </w:rPr>
        <w:t xml:space="preserve"> 556</w:t>
      </w:r>
      <w:r>
        <w:rPr>
          <w:rFonts w:asciiTheme="minorHAnsi" w:hAnsiTheme="minorHAnsi"/>
          <w:szCs w:val="24"/>
        </w:rPr>
        <w:t>708</w:t>
      </w:r>
      <w:r w:rsidR="006676DD" w:rsidRPr="002405E4">
        <w:rPr>
          <w:rFonts w:asciiTheme="minorHAnsi" w:hAnsiTheme="minorHAnsi"/>
          <w:szCs w:val="24"/>
        </w:rPr>
        <w:t>-</w:t>
      </w:r>
      <w:r>
        <w:rPr>
          <w:rFonts w:asciiTheme="minorHAnsi" w:hAnsiTheme="minorHAnsi"/>
          <w:szCs w:val="24"/>
        </w:rPr>
        <w:t>8074</w:t>
      </w:r>
      <w:r w:rsidR="006676DD" w:rsidRPr="002405E4">
        <w:rPr>
          <w:rFonts w:asciiTheme="minorHAnsi" w:hAnsiTheme="minorHAnsi"/>
          <w:szCs w:val="24"/>
        </w:rPr>
        <w:t xml:space="preserve"> (”Bolaget”), föreslår att årsstämman den </w:t>
      </w:r>
      <w:r>
        <w:rPr>
          <w:rFonts w:asciiTheme="minorHAnsi" w:hAnsiTheme="minorHAnsi"/>
          <w:szCs w:val="24"/>
        </w:rPr>
        <w:t>17</w:t>
      </w:r>
      <w:r w:rsidR="006676DD" w:rsidRPr="002405E4">
        <w:rPr>
          <w:rFonts w:asciiTheme="minorHAnsi" w:hAnsiTheme="minorHAnsi"/>
          <w:szCs w:val="24"/>
        </w:rPr>
        <w:t xml:space="preserve"> </w:t>
      </w:r>
      <w:r>
        <w:rPr>
          <w:rFonts w:asciiTheme="minorHAnsi" w:hAnsiTheme="minorHAnsi"/>
          <w:szCs w:val="24"/>
        </w:rPr>
        <w:t>juni</w:t>
      </w:r>
      <w:r w:rsidR="006676DD" w:rsidRPr="002405E4">
        <w:rPr>
          <w:rFonts w:asciiTheme="minorHAnsi" w:hAnsiTheme="minorHAnsi"/>
          <w:szCs w:val="24"/>
        </w:rPr>
        <w:t xml:space="preserve"> 2015 </w:t>
      </w:r>
      <w:r w:rsidR="00F7589F" w:rsidRPr="002405E4">
        <w:rPr>
          <w:rFonts w:asciiTheme="minorHAnsi" w:hAnsiTheme="minorHAnsi"/>
          <w:szCs w:val="24"/>
        </w:rPr>
        <w:t>f</w:t>
      </w:r>
      <w:r w:rsidR="00624DCC" w:rsidRPr="002405E4">
        <w:rPr>
          <w:rFonts w:asciiTheme="minorHAnsi" w:hAnsiTheme="minorHAnsi"/>
          <w:szCs w:val="24"/>
        </w:rPr>
        <w:t xml:space="preserve">attar beslut om </w:t>
      </w:r>
      <w:r w:rsidR="006676DD" w:rsidRPr="002405E4">
        <w:rPr>
          <w:rFonts w:asciiTheme="minorHAnsi" w:hAnsiTheme="minorHAnsi"/>
          <w:szCs w:val="24"/>
        </w:rPr>
        <w:t>emission av teckningsoptioner riktad till den förslagna</w:t>
      </w:r>
      <w:r w:rsidR="006676DD">
        <w:t xml:space="preserve"> styrelse</w:t>
      </w:r>
      <w:r w:rsidR="00E52BA4">
        <w:t>ledamoten</w:t>
      </w:r>
      <w:r w:rsidR="006676DD">
        <w:t xml:space="preserve"> </w:t>
      </w:r>
      <w:r w:rsidR="00E52BA4">
        <w:t>Ingela Skogvall-Svensson och</w:t>
      </w:r>
      <w:r w:rsidR="00783B2A">
        <w:t xml:space="preserve"> den nuvarande styrelseledamoten </w:t>
      </w:r>
      <w:r w:rsidR="00E52BA4">
        <w:t>Jonas Erjefält</w:t>
      </w:r>
      <w:r w:rsidR="00DE623F">
        <w:t xml:space="preserve"> </w:t>
      </w:r>
      <w:r w:rsidR="00925840">
        <w:t>på följande villkor</w:t>
      </w:r>
      <w:r w:rsidR="006676DD">
        <w:t>:</w:t>
      </w:r>
    </w:p>
    <w:p w:rsidR="006676DD" w:rsidRDefault="006676DD" w:rsidP="00925840">
      <w:pPr>
        <w:pStyle w:val="Numreradlista"/>
        <w:numPr>
          <w:ilvl w:val="0"/>
          <w:numId w:val="30"/>
        </w:numPr>
        <w:ind w:left="851"/>
      </w:pPr>
      <w:r>
        <w:t xml:space="preserve">Högst </w:t>
      </w:r>
      <w:r w:rsidR="00F762DB">
        <w:t>200 000</w:t>
      </w:r>
      <w:r>
        <w:t xml:space="preserve"> teckningsoptioner ska utges. </w:t>
      </w:r>
    </w:p>
    <w:p w:rsidR="007C3451" w:rsidRDefault="00925840" w:rsidP="00925840">
      <w:pPr>
        <w:pStyle w:val="Numreradlista"/>
        <w:numPr>
          <w:ilvl w:val="0"/>
          <w:numId w:val="30"/>
        </w:numPr>
        <w:ind w:left="851"/>
      </w:pPr>
      <w:r w:rsidRPr="00860E2D">
        <w:t>Med avvikelse från akt</w:t>
      </w:r>
      <w:r w:rsidR="00D5094D">
        <w:t xml:space="preserve">ieägarnas företrädesrätt ska </w:t>
      </w:r>
      <w:r w:rsidRPr="00860E2D">
        <w:t>teckningsop</w:t>
      </w:r>
      <w:r w:rsidR="007C3451">
        <w:t>tionerna endast kunna tecknas enligt följande:</w:t>
      </w:r>
    </w:p>
    <w:p w:rsidR="007C3451" w:rsidRPr="00815ABE" w:rsidRDefault="00F762DB" w:rsidP="00EB5855">
      <w:pPr>
        <w:pStyle w:val="Numreradlista"/>
        <w:numPr>
          <w:ilvl w:val="0"/>
          <w:numId w:val="0"/>
        </w:numPr>
        <w:ind w:left="1702" w:hanging="851"/>
      </w:pPr>
      <w:r>
        <w:t>Ingela Skogvall-Svensson</w:t>
      </w:r>
      <w:r w:rsidR="007C3451" w:rsidRPr="00815ABE">
        <w:t>:</w:t>
      </w:r>
      <w:r w:rsidR="007C3451" w:rsidRPr="00815ABE">
        <w:tab/>
      </w:r>
      <w:r w:rsidR="00EB5855">
        <w:tab/>
      </w:r>
      <w:r w:rsidR="007C3451" w:rsidRPr="00815ABE">
        <w:t xml:space="preserve">högst </w:t>
      </w:r>
      <w:r w:rsidR="003632BC">
        <w:t>1</w:t>
      </w:r>
      <w:r w:rsidR="000442C9">
        <w:t>00 000</w:t>
      </w:r>
      <w:r w:rsidR="007C3451" w:rsidRPr="00815ABE">
        <w:t xml:space="preserve"> teckningsoptioner</w:t>
      </w:r>
    </w:p>
    <w:p w:rsidR="007C3451" w:rsidRPr="00815ABE" w:rsidRDefault="00F762DB" w:rsidP="00EB5855">
      <w:pPr>
        <w:pStyle w:val="Numreradlista"/>
        <w:numPr>
          <w:ilvl w:val="0"/>
          <w:numId w:val="0"/>
        </w:numPr>
        <w:ind w:left="1702" w:hanging="851"/>
      </w:pPr>
      <w:r>
        <w:t>Jonas Erjefält</w:t>
      </w:r>
      <w:r w:rsidR="007C3451" w:rsidRPr="00815ABE">
        <w:t>:</w:t>
      </w:r>
      <w:r w:rsidR="007C3451" w:rsidRPr="00815ABE">
        <w:tab/>
      </w:r>
      <w:r>
        <w:tab/>
      </w:r>
      <w:r w:rsidR="00EB5855">
        <w:tab/>
      </w:r>
      <w:r w:rsidR="007C3451" w:rsidRPr="00815ABE">
        <w:t xml:space="preserve">högst </w:t>
      </w:r>
      <w:r>
        <w:t>100 000</w:t>
      </w:r>
      <w:r w:rsidR="007C3451" w:rsidRPr="00815ABE">
        <w:t xml:space="preserve"> teckningsoptioner</w:t>
      </w:r>
    </w:p>
    <w:p w:rsidR="00925840" w:rsidRDefault="00D5094D" w:rsidP="007C3451">
      <w:pPr>
        <w:pStyle w:val="Numreradlista"/>
        <w:numPr>
          <w:ilvl w:val="0"/>
          <w:numId w:val="0"/>
        </w:numPr>
        <w:ind w:left="851"/>
      </w:pPr>
      <w:r w:rsidRPr="00815ABE">
        <w:t>Skälen</w:t>
      </w:r>
      <w:r w:rsidR="00925840" w:rsidRPr="00815ABE">
        <w:t xml:space="preserve"> till avvikelsen från aktieägarnas företrädesrätt är </w:t>
      </w:r>
      <w:r w:rsidR="006676DD" w:rsidRPr="00815ABE">
        <w:t>att kunna</w:t>
      </w:r>
      <w:r w:rsidR="006676DD">
        <w:t xml:space="preserve"> erbjuda ett aktier</w:t>
      </w:r>
      <w:r w:rsidR="006676DD">
        <w:t>e</w:t>
      </w:r>
      <w:r w:rsidR="006676DD">
        <w:t xml:space="preserve">laterat incitamentsprogram till </w:t>
      </w:r>
      <w:r w:rsidR="00DE623F">
        <w:t xml:space="preserve">styrelseledamöter. </w:t>
      </w:r>
      <w:r w:rsidR="006676DD">
        <w:t xml:space="preserve"> </w:t>
      </w:r>
      <w:r w:rsidR="00A517D8">
        <w:t xml:space="preserve"> </w:t>
      </w:r>
    </w:p>
    <w:p w:rsidR="00925840" w:rsidRDefault="00925840" w:rsidP="00925840">
      <w:pPr>
        <w:pStyle w:val="Numreradlista"/>
        <w:ind w:left="851"/>
      </w:pPr>
      <w:r w:rsidRPr="00860E2D">
        <w:t xml:space="preserve">Teckning ska ske </w:t>
      </w:r>
      <w:r w:rsidRPr="00162374">
        <w:t xml:space="preserve">senast </w:t>
      </w:r>
      <w:r w:rsidR="001C56A6">
        <w:t xml:space="preserve">10 dagar efter årsstämman. </w:t>
      </w:r>
    </w:p>
    <w:p w:rsidR="00925840" w:rsidRDefault="00925840" w:rsidP="00925840">
      <w:pPr>
        <w:pStyle w:val="Numreradlista"/>
        <w:ind w:left="851"/>
      </w:pPr>
      <w:r>
        <w:t>Överteckning får inte ske.</w:t>
      </w:r>
    </w:p>
    <w:p w:rsidR="00925840" w:rsidRDefault="001C56A6" w:rsidP="001C56A6">
      <w:pPr>
        <w:pStyle w:val="Numreradlista"/>
        <w:ind w:left="851"/>
      </w:pPr>
      <w:r w:rsidRPr="001C56A6">
        <w:t>För varje teckningsoption ska ett kontant vederlag betalas motsvarande teckningsop</w:t>
      </w:r>
      <w:r w:rsidRPr="001C56A6">
        <w:t>t</w:t>
      </w:r>
      <w:r w:rsidRPr="001C56A6">
        <w:t>ionens marknadsvärde beräknat enligt Black Scholes formeln och vedertagna ant</w:t>
      </w:r>
      <w:r w:rsidRPr="001C56A6">
        <w:t>a</w:t>
      </w:r>
      <w:r w:rsidRPr="001C56A6">
        <w:t>ganden om bland annat volatilitet och riskfri ränta. Beräkningen av teckningsoptio</w:t>
      </w:r>
      <w:r w:rsidRPr="001C56A6">
        <w:t>n</w:t>
      </w:r>
      <w:r w:rsidRPr="001C56A6">
        <w:t xml:space="preserve">ernas marknadsvärde ska göras av </w:t>
      </w:r>
      <w:r w:rsidR="00317EF1">
        <w:t xml:space="preserve">en oberoende värderingsman </w:t>
      </w:r>
      <w:r>
        <w:t>i anslutning till år</w:t>
      </w:r>
      <w:r>
        <w:t>s</w:t>
      </w:r>
      <w:r>
        <w:t>stämman</w:t>
      </w:r>
      <w:r w:rsidRPr="001C56A6">
        <w:t>.</w:t>
      </w:r>
      <w:r w:rsidR="00925840">
        <w:t xml:space="preserve"> </w:t>
      </w:r>
    </w:p>
    <w:p w:rsidR="00925840" w:rsidRDefault="00925840" w:rsidP="00925840">
      <w:pPr>
        <w:pStyle w:val="Numreradlista"/>
        <w:ind w:left="851"/>
      </w:pPr>
      <w:r>
        <w:t xml:space="preserve">För teckningsoptionerna och utnyttjandet av optionsrätten gäller de villkor som framgår av bilagda villkor för teckningsoptioner </w:t>
      </w:r>
      <w:r w:rsidR="001C56A6">
        <w:t>2015/2018</w:t>
      </w:r>
      <w:r>
        <w:t xml:space="preserve">; </w:t>
      </w:r>
      <w:r w:rsidRPr="00535BC0">
        <w:rPr>
          <w:u w:val="single"/>
        </w:rPr>
        <w:t>Bilaga A</w:t>
      </w:r>
      <w:r>
        <w:t>, (”Optionsvil</w:t>
      </w:r>
      <w:r>
        <w:t>l</w:t>
      </w:r>
      <w:r>
        <w:t>koren”). Av Optionsvillkoren följer bland annat:</w:t>
      </w:r>
    </w:p>
    <w:p w:rsidR="00925840" w:rsidRDefault="00925840" w:rsidP="00925840">
      <w:pPr>
        <w:pStyle w:val="a-lista"/>
        <w:numPr>
          <w:ilvl w:val="0"/>
          <w:numId w:val="35"/>
        </w:numPr>
        <w:ind w:left="1418" w:hanging="567"/>
      </w:pPr>
      <w:r>
        <w:t>att varje teckningsoption ger rätt att teckna en ny aktie i Bolaget mot kontant betalning enligt e</w:t>
      </w:r>
      <w:r w:rsidR="00162374">
        <w:t xml:space="preserve">n teckningskurs </w:t>
      </w:r>
      <w:r w:rsidR="00162374" w:rsidRPr="00162374">
        <w:t xml:space="preserve">uppgående till </w:t>
      </w:r>
      <w:r w:rsidR="00F762DB">
        <w:t>2</w:t>
      </w:r>
      <w:r w:rsidR="008E2E29" w:rsidRPr="00815ABE">
        <w:t>5</w:t>
      </w:r>
      <w:r w:rsidR="001C56A6" w:rsidRPr="00815ABE">
        <w:t>0</w:t>
      </w:r>
      <w:r w:rsidR="008E2E29">
        <w:t xml:space="preserve"> </w:t>
      </w:r>
      <w:r w:rsidR="002D6B61">
        <w:t>procent av det</w:t>
      </w:r>
      <w:r w:rsidR="008457D8">
        <w:t xml:space="preserve"> volymvi</w:t>
      </w:r>
      <w:r w:rsidR="008457D8">
        <w:t>k</w:t>
      </w:r>
      <w:r w:rsidR="008457D8">
        <w:t>t</w:t>
      </w:r>
      <w:r w:rsidR="0064381A">
        <w:t>a</w:t>
      </w:r>
      <w:r w:rsidR="008457D8">
        <w:t xml:space="preserve">de </w:t>
      </w:r>
      <w:r w:rsidR="008F11C5">
        <w:t>genomsnittsvärdet</w:t>
      </w:r>
      <w:r w:rsidR="008457D8">
        <w:t xml:space="preserve"> </w:t>
      </w:r>
      <w:r>
        <w:t xml:space="preserve">för </w:t>
      </w:r>
      <w:r w:rsidR="008F11C5">
        <w:t>B</w:t>
      </w:r>
      <w:r>
        <w:t xml:space="preserve">olagets aktie på </w:t>
      </w:r>
      <w:r w:rsidR="00C82A09">
        <w:t>AktieTorget</w:t>
      </w:r>
      <w:r>
        <w:t xml:space="preserve"> under </w:t>
      </w:r>
      <w:r w:rsidR="001E4A89">
        <w:t xml:space="preserve">perioden från och med den </w:t>
      </w:r>
      <w:r w:rsidR="002801CE">
        <w:t>3</w:t>
      </w:r>
      <w:r w:rsidR="00F762DB">
        <w:t xml:space="preserve"> juni</w:t>
      </w:r>
      <w:r w:rsidR="001C56A6" w:rsidRPr="00815ABE">
        <w:t xml:space="preserve"> 2015 </w:t>
      </w:r>
      <w:r w:rsidR="001E4A89" w:rsidRPr="00815ABE">
        <w:t xml:space="preserve">till och med den </w:t>
      </w:r>
      <w:r w:rsidR="001C56A6" w:rsidRPr="00815ABE">
        <w:t>1</w:t>
      </w:r>
      <w:r w:rsidR="00F762DB">
        <w:t>6 juni</w:t>
      </w:r>
      <w:r w:rsidR="001C56A6" w:rsidRPr="00815ABE">
        <w:t xml:space="preserve"> 2015</w:t>
      </w:r>
      <w:r w:rsidRPr="00815ABE">
        <w:t>,</w:t>
      </w:r>
      <w:r>
        <w:t xml:space="preserve"> dock lägst aktiens kvotvärde. Teckningskursen ska avrundas till närmast tiotal öre, varvid 5 öre ska avrundas uppåt;</w:t>
      </w:r>
    </w:p>
    <w:p w:rsidR="00925840" w:rsidRDefault="00925840" w:rsidP="00925840">
      <w:pPr>
        <w:pStyle w:val="a-lista"/>
        <w:numPr>
          <w:ilvl w:val="0"/>
          <w:numId w:val="35"/>
        </w:numPr>
        <w:ind w:left="1418" w:hanging="567"/>
      </w:pPr>
      <w:r>
        <w:t>att teckningskursen och det antal aktier som varje teckningsoption ger rätt att teckna kan bli föremål för justering enligt vad som anges i punkt 8 i Option</w:t>
      </w:r>
      <w:r>
        <w:t>s</w:t>
      </w:r>
      <w:r>
        <w:t>villkoren;</w:t>
      </w:r>
    </w:p>
    <w:p w:rsidR="00925840" w:rsidRPr="005C2326" w:rsidRDefault="00925840" w:rsidP="00925840">
      <w:pPr>
        <w:pStyle w:val="a-lista"/>
        <w:numPr>
          <w:ilvl w:val="0"/>
          <w:numId w:val="35"/>
        </w:numPr>
        <w:ind w:left="1418" w:hanging="567"/>
      </w:pPr>
      <w:r w:rsidRPr="005C2326">
        <w:t>att optionsrätten får utnyttjas un</w:t>
      </w:r>
      <w:r w:rsidR="005C2326" w:rsidRPr="005C2326">
        <w:t xml:space="preserve">der perioden från och med </w:t>
      </w:r>
      <w:r w:rsidR="008E2E29" w:rsidRPr="00815ABE">
        <w:t xml:space="preserve">1 </w:t>
      </w:r>
      <w:r w:rsidR="001C56A6" w:rsidRPr="00815ABE">
        <w:t>j</w:t>
      </w:r>
      <w:r w:rsidR="005A0AB1">
        <w:t>uli</w:t>
      </w:r>
      <w:r w:rsidR="001C56A6" w:rsidRPr="00815ABE">
        <w:t xml:space="preserve"> 2018</w:t>
      </w:r>
      <w:r w:rsidR="008E2E29" w:rsidRPr="00815ABE">
        <w:t xml:space="preserve"> </w:t>
      </w:r>
      <w:r w:rsidRPr="00815ABE">
        <w:t xml:space="preserve">till och med </w:t>
      </w:r>
      <w:r w:rsidR="005A0AB1">
        <w:t>31</w:t>
      </w:r>
      <w:r w:rsidR="001C56A6" w:rsidRPr="00815ABE">
        <w:t xml:space="preserve"> </w:t>
      </w:r>
      <w:r w:rsidR="005A0AB1">
        <w:t>juli</w:t>
      </w:r>
      <w:r w:rsidR="001C56A6" w:rsidRPr="00815ABE">
        <w:t xml:space="preserve"> 2018</w:t>
      </w:r>
      <w:r w:rsidRPr="005C2326">
        <w:t>;</w:t>
      </w:r>
    </w:p>
    <w:p w:rsidR="00925840" w:rsidRDefault="00925840" w:rsidP="00925840">
      <w:pPr>
        <w:pStyle w:val="a-lista"/>
        <w:numPr>
          <w:ilvl w:val="0"/>
          <w:numId w:val="35"/>
        </w:numPr>
        <w:tabs>
          <w:tab w:val="left" w:pos="1560"/>
        </w:tabs>
        <w:ind w:left="1418" w:hanging="567"/>
      </w:pPr>
      <w:r>
        <w:lastRenderedPageBreak/>
        <w:t>att tidpunkten för utnyttjande av optionsrätten kan komma att tidigareläggas e</w:t>
      </w:r>
      <w:r>
        <w:t>l</w:t>
      </w:r>
      <w:r>
        <w:t>ler senareläggas enligt vad som anges i punkt 8 i optionsvillkoren; och</w:t>
      </w:r>
    </w:p>
    <w:p w:rsidR="00925840" w:rsidRDefault="00925840" w:rsidP="00925840">
      <w:pPr>
        <w:pStyle w:val="a-lista"/>
        <w:numPr>
          <w:ilvl w:val="0"/>
          <w:numId w:val="35"/>
        </w:numPr>
        <w:ind w:left="1418" w:hanging="567"/>
      </w:pPr>
      <w:r>
        <w:t xml:space="preserve">att de aktier som tillkommer genom utnyttjande av optionsrätt ger rätt till vinstutdelning enligt vad som anges i punkt 7 i optionsvillkoren. </w:t>
      </w:r>
    </w:p>
    <w:p w:rsidR="00925840" w:rsidRDefault="00925840" w:rsidP="00925840">
      <w:pPr>
        <w:pStyle w:val="Numreradlista"/>
        <w:ind w:left="851"/>
      </w:pPr>
      <w:r w:rsidRPr="002B20E2">
        <w:t>Vid fullt utnyttjande av optionsrätterna för teckning av nya aktier kommer aktiekap</w:t>
      </w:r>
      <w:r w:rsidRPr="002B20E2">
        <w:t>i</w:t>
      </w:r>
      <w:r w:rsidRPr="002B20E2">
        <w:t xml:space="preserve">talet att öka med </w:t>
      </w:r>
      <w:r w:rsidR="005E7EA3">
        <w:t>10 000</w:t>
      </w:r>
      <w:r w:rsidR="001E4A89">
        <w:t xml:space="preserve"> </w:t>
      </w:r>
      <w:r w:rsidRPr="002B20E2">
        <w:t>kronor.</w:t>
      </w:r>
    </w:p>
    <w:p w:rsidR="00925840" w:rsidRDefault="00925840" w:rsidP="00925840">
      <w:pPr>
        <w:pStyle w:val="Numreradlista"/>
        <w:ind w:left="851"/>
      </w:pPr>
      <w:r w:rsidRPr="002B20E2">
        <w:t>Styrelse</w:t>
      </w:r>
      <w:r w:rsidR="001C56A6">
        <w:t xml:space="preserve">n </w:t>
      </w:r>
      <w:r w:rsidRPr="002B20E2">
        <w:t xml:space="preserve">ska vara bemyndigad att vidta de smärre formella justeringar av beslutet som kan visa sig erforderliga i samband med registrering vid Bolagsverket. </w:t>
      </w:r>
    </w:p>
    <w:p w:rsidR="00416A44" w:rsidRDefault="006416B2" w:rsidP="006416B2">
      <w:pPr>
        <w:pStyle w:val="Numreradlista"/>
        <w:numPr>
          <w:ilvl w:val="0"/>
          <w:numId w:val="0"/>
        </w:numPr>
        <w:tabs>
          <w:tab w:val="left" w:pos="851"/>
          <w:tab w:val="left" w:pos="993"/>
        </w:tabs>
        <w:ind w:left="1702"/>
      </w:pPr>
      <w:r>
        <w:tab/>
      </w:r>
      <w:r w:rsidR="00401612">
        <w:t>_____________________________</w:t>
      </w:r>
    </w:p>
    <w:p w:rsidR="00B03539" w:rsidRPr="00B03539" w:rsidRDefault="00B03539" w:rsidP="00B03539">
      <w:pPr>
        <w:rPr>
          <w:rFonts w:asciiTheme="majorHAnsi" w:eastAsiaTheme="minorHAnsi" w:hAnsiTheme="majorHAnsi"/>
        </w:rPr>
      </w:pPr>
      <w:r w:rsidRPr="00B03539">
        <w:rPr>
          <w:rFonts w:asciiTheme="majorHAnsi" w:eastAsiaTheme="minorHAnsi" w:hAnsiTheme="majorHAnsi"/>
        </w:rPr>
        <w:t>Motiv för teckningsoptionsprogrammet och skäl till avvikelsen från aktieägarnas företräde</w:t>
      </w:r>
      <w:r w:rsidRPr="00B03539">
        <w:rPr>
          <w:rFonts w:asciiTheme="majorHAnsi" w:hAnsiTheme="majorHAnsi"/>
        </w:rPr>
        <w:t>s</w:t>
      </w:r>
      <w:r w:rsidRPr="00B03539">
        <w:rPr>
          <w:rFonts w:asciiTheme="majorHAnsi" w:eastAsiaTheme="minorHAnsi" w:hAnsiTheme="majorHAnsi"/>
        </w:rPr>
        <w:t>rätt</w:t>
      </w:r>
    </w:p>
    <w:p w:rsidR="00B03539" w:rsidRDefault="00B03539" w:rsidP="00B03539">
      <w:r>
        <w:t>Skälen till införandet av teckningsoptionsprogrammet och avvikelsen från aktieägarnas för</w:t>
      </w:r>
      <w:r>
        <w:t>e</w:t>
      </w:r>
      <w:r>
        <w:t xml:space="preserve">trädesrätt är att kunna skapa möjligheter </w:t>
      </w:r>
      <w:r w:rsidR="00861985">
        <w:t xml:space="preserve">att erbjuda ett aktierelaterat incitament </w:t>
      </w:r>
      <w:r w:rsidR="005E7EA3">
        <w:t>till styrelsel</w:t>
      </w:r>
      <w:r w:rsidR="005E7EA3">
        <w:t>e</w:t>
      </w:r>
      <w:r w:rsidR="002801CE">
        <w:t>damöter.</w:t>
      </w:r>
      <w:r w:rsidR="005E7EA3">
        <w:t xml:space="preserve">   </w:t>
      </w:r>
    </w:p>
    <w:p w:rsidR="00AA428D" w:rsidRPr="00A16552" w:rsidRDefault="00A16552" w:rsidP="00CA0587">
      <w:pPr>
        <w:pStyle w:val="Numreradlista"/>
        <w:numPr>
          <w:ilvl w:val="0"/>
          <w:numId w:val="0"/>
        </w:numPr>
        <w:rPr>
          <w:rFonts w:asciiTheme="majorHAnsi" w:hAnsiTheme="majorHAnsi"/>
        </w:rPr>
      </w:pPr>
      <w:r w:rsidRPr="00A16552">
        <w:rPr>
          <w:rFonts w:asciiTheme="majorHAnsi" w:hAnsiTheme="majorHAnsi"/>
        </w:rPr>
        <w:t>U</w:t>
      </w:r>
      <w:r w:rsidR="00AA428D" w:rsidRPr="00A16552">
        <w:rPr>
          <w:rFonts w:asciiTheme="majorHAnsi" w:hAnsiTheme="majorHAnsi"/>
        </w:rPr>
        <w:t>tspädning</w:t>
      </w:r>
      <w:r w:rsidR="00C50C04" w:rsidRPr="00A16552">
        <w:rPr>
          <w:rFonts w:asciiTheme="majorHAnsi" w:hAnsiTheme="majorHAnsi"/>
        </w:rPr>
        <w:t xml:space="preserve"> </w:t>
      </w:r>
    </w:p>
    <w:p w:rsidR="00861985" w:rsidRPr="005E7EA3" w:rsidRDefault="00861985" w:rsidP="00F97C03">
      <w:pPr>
        <w:pStyle w:val="Numreradlista"/>
        <w:numPr>
          <w:ilvl w:val="0"/>
          <w:numId w:val="0"/>
        </w:numPr>
      </w:pPr>
      <w:r w:rsidRPr="00A16552">
        <w:t xml:space="preserve">Den nu föreslagna emissionen av teckningsoptioner till </w:t>
      </w:r>
      <w:r w:rsidR="00DE623F" w:rsidRPr="00A16552">
        <w:t xml:space="preserve">vissa styrelseledamöter </w:t>
      </w:r>
      <w:r w:rsidRPr="00A16552">
        <w:t xml:space="preserve">av totalt högst </w:t>
      </w:r>
      <w:r w:rsidR="00A16552">
        <w:t>200 000</w:t>
      </w:r>
      <w:r w:rsidRPr="00A16552">
        <w:t xml:space="preserve"> </w:t>
      </w:r>
      <w:r w:rsidRPr="004B186D">
        <w:rPr>
          <w:rFonts w:asciiTheme="minorHAnsi" w:hAnsiTheme="minorHAnsi"/>
        </w:rPr>
        <w:t xml:space="preserve">teckningsoptioner kan föranleda en utspädning om totalt ca </w:t>
      </w:r>
      <w:r w:rsidR="001C7E8B" w:rsidRPr="004B186D">
        <w:rPr>
          <w:rFonts w:asciiTheme="minorHAnsi" w:hAnsiTheme="minorHAnsi"/>
        </w:rPr>
        <w:t>1,13</w:t>
      </w:r>
      <w:r w:rsidR="00A16552" w:rsidRPr="004B186D">
        <w:rPr>
          <w:rFonts w:asciiTheme="minorHAnsi" w:hAnsiTheme="minorHAnsi"/>
        </w:rPr>
        <w:t xml:space="preserve"> procent.</w:t>
      </w:r>
      <w:r w:rsidR="00517853" w:rsidRPr="004B186D">
        <w:rPr>
          <w:rFonts w:asciiTheme="minorHAnsi" w:hAnsiTheme="minorHAnsi"/>
        </w:rPr>
        <w:t xml:space="preserve"> I Bolaget finns inga övriga</w:t>
      </w:r>
      <w:r w:rsidR="004B186D" w:rsidRPr="004B186D">
        <w:rPr>
          <w:rFonts w:asciiTheme="minorHAnsi" w:hAnsiTheme="minorHAnsi"/>
        </w:rPr>
        <w:t xml:space="preserve"> incitamentsprogram</w:t>
      </w:r>
      <w:r w:rsidR="00517853" w:rsidRPr="004B186D">
        <w:rPr>
          <w:rFonts w:asciiTheme="minorHAnsi" w:hAnsiTheme="minorHAnsi"/>
        </w:rPr>
        <w:t xml:space="preserve"> som</w:t>
      </w:r>
      <w:r w:rsidR="0064381A">
        <w:rPr>
          <w:rFonts w:asciiTheme="minorHAnsi" w:hAnsiTheme="minorHAnsi"/>
        </w:rPr>
        <w:t xml:space="preserve"> kan</w:t>
      </w:r>
      <w:r w:rsidR="00517853" w:rsidRPr="004B186D">
        <w:rPr>
          <w:rFonts w:asciiTheme="minorHAnsi" w:hAnsiTheme="minorHAnsi"/>
        </w:rPr>
        <w:t xml:space="preserve"> </w:t>
      </w:r>
      <w:r w:rsidR="007E48CD">
        <w:rPr>
          <w:rFonts w:asciiTheme="minorHAnsi" w:hAnsiTheme="minorHAnsi"/>
        </w:rPr>
        <w:t>föranleda</w:t>
      </w:r>
      <w:r w:rsidR="00517853" w:rsidRPr="00A16552">
        <w:t xml:space="preserve"> utspädning.</w:t>
      </w:r>
    </w:p>
    <w:p w:rsidR="00AA428D" w:rsidRPr="009718A0" w:rsidRDefault="00AA428D" w:rsidP="00AA428D">
      <w:pPr>
        <w:pStyle w:val="Numreradlista"/>
        <w:numPr>
          <w:ilvl w:val="0"/>
          <w:numId w:val="0"/>
        </w:numPr>
        <w:rPr>
          <w:rFonts w:asciiTheme="majorHAnsi" w:hAnsiTheme="majorHAnsi"/>
        </w:rPr>
      </w:pPr>
      <w:r w:rsidRPr="009718A0">
        <w:rPr>
          <w:rFonts w:asciiTheme="majorHAnsi" w:hAnsiTheme="majorHAnsi"/>
        </w:rPr>
        <w:t>Kostnader</w:t>
      </w:r>
    </w:p>
    <w:p w:rsidR="00AA428D" w:rsidRPr="008345C2" w:rsidRDefault="00AA428D" w:rsidP="00AA428D">
      <w:pPr>
        <w:pStyle w:val="Numreradlista"/>
        <w:numPr>
          <w:ilvl w:val="0"/>
          <w:numId w:val="0"/>
        </w:numPr>
      </w:pPr>
      <w:r>
        <w:t>Då</w:t>
      </w:r>
      <w:r w:rsidR="00E24FDF">
        <w:t xml:space="preserve"> teckningsoptionerna emitteras </w:t>
      </w:r>
      <w:r>
        <w:t xml:space="preserve">till marknadsvärde är det </w:t>
      </w:r>
      <w:r w:rsidR="00E24FDF">
        <w:t xml:space="preserve">Förslagsställarnas </w:t>
      </w:r>
      <w:r>
        <w:t xml:space="preserve">bedömning att några sociala kostnader inte kommer att uppstå för </w:t>
      </w:r>
      <w:r w:rsidR="009F191F">
        <w:t>B</w:t>
      </w:r>
      <w:r>
        <w:t xml:space="preserve">olaget till följd av </w:t>
      </w:r>
      <w:r w:rsidR="00E24FDF">
        <w:t>emissionen av tec</w:t>
      </w:r>
      <w:r w:rsidR="00E24FDF">
        <w:t>k</w:t>
      </w:r>
      <w:r w:rsidR="00E24FDF">
        <w:t xml:space="preserve">ningsoptioner. </w:t>
      </w:r>
      <w:r w:rsidR="009F191F">
        <w:t xml:space="preserve">Kostnaderna för </w:t>
      </w:r>
      <w:r w:rsidR="00E24FDF">
        <w:t>teckningsoptionerna</w:t>
      </w:r>
      <w:r w:rsidR="009F191F">
        <w:t xml:space="preserve"> kommer därför endast att bestå i begrä</w:t>
      </w:r>
      <w:r w:rsidR="009F191F">
        <w:t>n</w:t>
      </w:r>
      <w:r w:rsidR="009F191F">
        <w:t xml:space="preserve">sade kostnader för implementering och administration av programmet. </w:t>
      </w:r>
      <w:r>
        <w:t xml:space="preserve"> </w:t>
      </w:r>
    </w:p>
    <w:p w:rsidR="00F577EB" w:rsidRDefault="00F577EB" w:rsidP="00760CC7">
      <w:pPr>
        <w:pStyle w:val="Numreradlista"/>
        <w:numPr>
          <w:ilvl w:val="0"/>
          <w:numId w:val="0"/>
        </w:numPr>
        <w:tabs>
          <w:tab w:val="left" w:pos="2400"/>
        </w:tabs>
        <w:rPr>
          <w:rFonts w:asciiTheme="majorHAnsi" w:hAnsiTheme="majorHAnsi"/>
        </w:rPr>
      </w:pPr>
      <w:r>
        <w:rPr>
          <w:rFonts w:asciiTheme="majorHAnsi" w:hAnsiTheme="majorHAnsi"/>
        </w:rPr>
        <w:t>Förslagets beredning</w:t>
      </w:r>
      <w:r w:rsidR="00760CC7">
        <w:rPr>
          <w:rFonts w:asciiTheme="majorHAnsi" w:hAnsiTheme="majorHAnsi"/>
        </w:rPr>
        <w:tab/>
      </w:r>
    </w:p>
    <w:p w:rsidR="00815ABE" w:rsidRDefault="00210174" w:rsidP="00F577EB">
      <w:pPr>
        <w:pStyle w:val="Normaltindrag"/>
        <w:ind w:left="0"/>
      </w:pPr>
      <w:r w:rsidRPr="00210174">
        <w:t>Förslaget</w:t>
      </w:r>
      <w:r>
        <w:t xml:space="preserve"> till </w:t>
      </w:r>
      <w:r w:rsidR="0086696E">
        <w:t xml:space="preserve">emission av teckningsoptioner har </w:t>
      </w:r>
      <w:r>
        <w:t xml:space="preserve">beretts av </w:t>
      </w:r>
      <w:r w:rsidR="0086696E">
        <w:t xml:space="preserve">Förslagsställarna </w:t>
      </w:r>
      <w:r>
        <w:t>i samråd med e</w:t>
      </w:r>
      <w:r>
        <w:t>x</w:t>
      </w:r>
      <w:r>
        <w:t>terna rådgivare.</w:t>
      </w:r>
    </w:p>
    <w:p w:rsidR="00AA428D" w:rsidRPr="009718A0" w:rsidRDefault="00AA428D" w:rsidP="008B6089">
      <w:pPr>
        <w:pStyle w:val="Normaltindrag"/>
        <w:tabs>
          <w:tab w:val="center" w:pos="4393"/>
        </w:tabs>
        <w:ind w:left="0"/>
        <w:rPr>
          <w:rFonts w:asciiTheme="majorHAnsi" w:hAnsiTheme="majorHAnsi"/>
        </w:rPr>
      </w:pPr>
      <w:r w:rsidRPr="009718A0">
        <w:rPr>
          <w:rFonts w:asciiTheme="majorHAnsi" w:hAnsiTheme="majorHAnsi"/>
        </w:rPr>
        <w:t>Majoritetskrav</w:t>
      </w:r>
      <w:r w:rsidR="008B6089">
        <w:rPr>
          <w:rFonts w:asciiTheme="majorHAnsi" w:hAnsiTheme="majorHAnsi"/>
        </w:rPr>
        <w:tab/>
      </w:r>
    </w:p>
    <w:p w:rsidR="00C15AD5" w:rsidRDefault="0086696E" w:rsidP="00AA428D">
      <w:pPr>
        <w:pStyle w:val="Numreradlista"/>
        <w:numPr>
          <w:ilvl w:val="0"/>
          <w:numId w:val="0"/>
        </w:numPr>
      </w:pPr>
      <w:r>
        <w:t xml:space="preserve">Den föreslagna emissionen av teckningsoptioner </w:t>
      </w:r>
      <w:r w:rsidR="00AA428D">
        <w:t>omfattas av bestämmelserna i 16 kap. akti</w:t>
      </w:r>
      <w:r w:rsidR="00AA428D">
        <w:t>e</w:t>
      </w:r>
      <w:r w:rsidR="00AA428D">
        <w:t>bolagslagen. Giltigt beslut fordrar där</w:t>
      </w:r>
      <w:r w:rsidR="00090412">
        <w:t xml:space="preserve">för </w:t>
      </w:r>
      <w:r w:rsidR="00AA428D">
        <w:t>att förslag</w:t>
      </w:r>
      <w:r>
        <w:t>et</w:t>
      </w:r>
      <w:r w:rsidR="00AA428D">
        <w:t xml:space="preserve"> biträds av aktieägare med minst nio t</w:t>
      </w:r>
      <w:r w:rsidR="00AA428D">
        <w:t>i</w:t>
      </w:r>
      <w:r w:rsidR="00AA428D">
        <w:t>ondelar av såväl de avgivna rösterna som de aktier som är företrädda på stämman.</w:t>
      </w:r>
      <w:r w:rsidR="000F5B88">
        <w:t xml:space="preserve"> </w:t>
      </w:r>
    </w:p>
    <w:p w:rsidR="00DE623F" w:rsidRPr="005E7EA3" w:rsidRDefault="005E7EA3" w:rsidP="005E7EA3">
      <w:pPr>
        <w:pStyle w:val="Numreradlista"/>
        <w:numPr>
          <w:ilvl w:val="0"/>
          <w:numId w:val="0"/>
        </w:numPr>
        <w:ind w:left="851" w:hanging="851"/>
        <w:jc w:val="center"/>
      </w:pPr>
      <w:r w:rsidRPr="005E7EA3">
        <w:t>____________________</w:t>
      </w:r>
    </w:p>
    <w:p w:rsidR="00263702" w:rsidRPr="005E7EA3" w:rsidRDefault="005E7EA3" w:rsidP="00416871">
      <w:pPr>
        <w:jc w:val="center"/>
      </w:pPr>
      <w:r w:rsidRPr="005E7EA3">
        <w:t>Lund i maj 2015</w:t>
      </w:r>
    </w:p>
    <w:p w:rsidR="00B03539" w:rsidRPr="005E7EA3" w:rsidRDefault="005E7EA3" w:rsidP="00B03539">
      <w:pPr>
        <w:jc w:val="center"/>
      </w:pPr>
      <w:r w:rsidRPr="005E7EA3">
        <w:t>SkåneÖrnen AB</w:t>
      </w:r>
    </w:p>
    <w:p w:rsidR="005E7EA3" w:rsidRPr="005E7EA3" w:rsidRDefault="005E7EA3" w:rsidP="00B03539">
      <w:pPr>
        <w:jc w:val="center"/>
      </w:pPr>
      <w:r w:rsidRPr="005E7EA3">
        <w:t>Staffan Skogvall</w:t>
      </w:r>
    </w:p>
    <w:p w:rsidR="0086696E" w:rsidRPr="0086696E" w:rsidRDefault="005E7EA3" w:rsidP="00087AF4">
      <w:pPr>
        <w:jc w:val="center"/>
      </w:pPr>
      <w:r>
        <w:t>Arne Skogvall</w:t>
      </w:r>
    </w:p>
    <w:p w:rsidR="0086696E" w:rsidRPr="0086696E" w:rsidRDefault="0086696E" w:rsidP="00B03539">
      <w:pPr>
        <w:jc w:val="center"/>
        <w:sectPr w:rsidR="0086696E" w:rsidRPr="0086696E" w:rsidSect="00825F30">
          <w:headerReference w:type="even" r:id="rId9"/>
          <w:headerReference w:type="default" r:id="rId10"/>
          <w:footerReference w:type="first" r:id="rId11"/>
          <w:type w:val="continuous"/>
          <w:pgSz w:w="11906" w:h="16838" w:code="9"/>
          <w:pgMar w:top="2155" w:right="1418" w:bottom="1134" w:left="1701" w:header="1021" w:footer="720" w:gutter="0"/>
          <w:pgNumType w:start="1"/>
          <w:cols w:space="720"/>
          <w:titlePg/>
          <w:docGrid w:linePitch="360"/>
        </w:sectPr>
      </w:pPr>
    </w:p>
    <w:p w:rsidR="0086696E" w:rsidRDefault="0086696E" w:rsidP="0086696E">
      <w:pPr>
        <w:pStyle w:val="Dokumentrubrik"/>
        <w:jc w:val="right"/>
      </w:pPr>
      <w:bookmarkStart w:id="1" w:name="Start"/>
      <w:bookmarkEnd w:id="1"/>
      <w:r>
        <w:lastRenderedPageBreak/>
        <w:t>BILAGA A</w:t>
      </w:r>
    </w:p>
    <w:p w:rsidR="00825F30" w:rsidRDefault="00825F30" w:rsidP="00825F30">
      <w:pPr>
        <w:pStyle w:val="Dokumentrubrik"/>
      </w:pPr>
      <w:r>
        <w:t xml:space="preserve">VILLKOR FÖR TECKNINGSOPTIONER </w:t>
      </w:r>
      <w:bookmarkStart w:id="2" w:name="Text3"/>
      <w:r w:rsidR="0086696E">
        <w:t>2015</w:t>
      </w:r>
      <w:r w:rsidR="00CD451C">
        <w:t>/201</w:t>
      </w:r>
      <w:bookmarkEnd w:id="2"/>
      <w:r w:rsidR="0086696E">
        <w:t>8</w:t>
      </w:r>
      <w:r>
        <w:t xml:space="preserve"> I </w:t>
      </w:r>
      <w:bookmarkStart w:id="3" w:name="Text4"/>
      <w:r w:rsidR="00926B62">
        <w:t>pharmalundensis</w:t>
      </w:r>
      <w:r w:rsidR="0086696E">
        <w:t xml:space="preserve"> </w:t>
      </w:r>
      <w:r w:rsidR="00735FE5">
        <w:t>AB</w:t>
      </w:r>
      <w:r w:rsidR="0086696E">
        <w:t xml:space="preserve"> </w:t>
      </w:r>
      <w:r w:rsidR="00E11225">
        <w:t>(publ)</w:t>
      </w:r>
      <w:bookmarkEnd w:id="3"/>
    </w:p>
    <w:p w:rsidR="00825F30" w:rsidRDefault="00825F30" w:rsidP="00C4018F">
      <w:pPr>
        <w:pStyle w:val="Nr-Rubrik1"/>
        <w:numPr>
          <w:ilvl w:val="0"/>
          <w:numId w:val="40"/>
        </w:numPr>
      </w:pPr>
      <w:r>
        <w:t>Definitioner</w:t>
      </w:r>
    </w:p>
    <w:p w:rsidR="00825F30" w:rsidRDefault="00825F30" w:rsidP="00825F30">
      <w:pPr>
        <w:pStyle w:val="Normaltindrag"/>
      </w:pPr>
      <w:r>
        <w:t>I dessa villkor betyder:</w:t>
      </w:r>
    </w:p>
    <w:tbl>
      <w:tblPr>
        <w:tblW w:w="0" w:type="auto"/>
        <w:tblInd w:w="851" w:type="dxa"/>
        <w:tblLook w:val="04A0" w:firstRow="1" w:lastRow="0" w:firstColumn="1" w:lastColumn="0" w:noHBand="0" w:noVBand="1"/>
      </w:tblPr>
      <w:tblGrid>
        <w:gridCol w:w="3510"/>
        <w:gridCol w:w="4642"/>
      </w:tblGrid>
      <w:tr w:rsidR="00825F30" w:rsidTr="00825F30">
        <w:tc>
          <w:tcPr>
            <w:tcW w:w="3510" w:type="dxa"/>
          </w:tcPr>
          <w:p w:rsidR="00825F30" w:rsidRDefault="00825F30" w:rsidP="00825F30">
            <w:pPr>
              <w:pStyle w:val="Normaltindrag"/>
              <w:ind w:left="0"/>
            </w:pPr>
            <w:r>
              <w:t>”aktiebolagslagen”</w:t>
            </w:r>
          </w:p>
        </w:tc>
        <w:tc>
          <w:tcPr>
            <w:tcW w:w="4642" w:type="dxa"/>
          </w:tcPr>
          <w:p w:rsidR="00825F30" w:rsidRDefault="00825F30" w:rsidP="00825F30">
            <w:pPr>
              <w:pStyle w:val="Normaltindrag"/>
              <w:ind w:left="0"/>
            </w:pPr>
            <w:r>
              <w:t xml:space="preserve">aktiebolagslagen (2005:551). </w:t>
            </w:r>
          </w:p>
        </w:tc>
      </w:tr>
      <w:tr w:rsidR="00825F30" w:rsidTr="00825F30">
        <w:tc>
          <w:tcPr>
            <w:tcW w:w="3510" w:type="dxa"/>
          </w:tcPr>
          <w:p w:rsidR="00825F30" w:rsidRDefault="00825F30" w:rsidP="00825F30">
            <w:pPr>
              <w:pStyle w:val="Normaltindrag"/>
              <w:ind w:left="0"/>
            </w:pPr>
            <w:r>
              <w:t>”avstämningskonto”</w:t>
            </w:r>
          </w:p>
        </w:tc>
        <w:tc>
          <w:tcPr>
            <w:tcW w:w="4642" w:type="dxa"/>
          </w:tcPr>
          <w:p w:rsidR="00825F30" w:rsidRDefault="00825F30" w:rsidP="00825F30">
            <w:pPr>
              <w:pStyle w:val="Normaltindrag"/>
              <w:ind w:left="0"/>
            </w:pPr>
            <w:r>
              <w:t>värdepapperskonto hos Euroclear där respe</w:t>
            </w:r>
            <w:r>
              <w:t>k</w:t>
            </w:r>
            <w:r>
              <w:t>tive optionsinnehavares innehav av aktier i b</w:t>
            </w:r>
            <w:r>
              <w:t>o</w:t>
            </w:r>
            <w:r>
              <w:t>laget som tillkommer genom teckning ska reg</w:t>
            </w:r>
            <w:r>
              <w:t>i</w:t>
            </w:r>
            <w:r>
              <w:t>streras.</w:t>
            </w:r>
          </w:p>
        </w:tc>
      </w:tr>
      <w:tr w:rsidR="00825F30" w:rsidTr="00825F30">
        <w:tc>
          <w:tcPr>
            <w:tcW w:w="3510" w:type="dxa"/>
          </w:tcPr>
          <w:p w:rsidR="00825F30" w:rsidRDefault="00825F30" w:rsidP="00825F30">
            <w:pPr>
              <w:pStyle w:val="Normaltindrag"/>
              <w:ind w:left="0"/>
            </w:pPr>
            <w:r>
              <w:t>”bankdag”</w:t>
            </w:r>
          </w:p>
        </w:tc>
        <w:tc>
          <w:tcPr>
            <w:tcW w:w="4642" w:type="dxa"/>
          </w:tcPr>
          <w:p w:rsidR="00825F30" w:rsidRDefault="00825F30" w:rsidP="00825F30">
            <w:pPr>
              <w:pStyle w:val="Normaltindrag"/>
              <w:ind w:left="0"/>
            </w:pPr>
            <w:r>
              <w:t>dag som inte är lördag, söndag eller annan al</w:t>
            </w:r>
            <w:r>
              <w:t>l</w:t>
            </w:r>
            <w:r>
              <w:t>män helgdag i Sverige eller som beträffande b</w:t>
            </w:r>
            <w:r>
              <w:t>e</w:t>
            </w:r>
            <w:r>
              <w:t>talning av skuldebrev inte är likställd med al</w:t>
            </w:r>
            <w:r>
              <w:t>l</w:t>
            </w:r>
            <w:r>
              <w:t>män helgdag i Sverige.</w:t>
            </w:r>
          </w:p>
        </w:tc>
      </w:tr>
      <w:tr w:rsidR="00825F30" w:rsidRPr="0086696E" w:rsidTr="00825F30">
        <w:tc>
          <w:tcPr>
            <w:tcW w:w="3510" w:type="dxa"/>
          </w:tcPr>
          <w:p w:rsidR="00825F30" w:rsidRDefault="00825F30" w:rsidP="00825F30">
            <w:pPr>
              <w:pStyle w:val="Normaltindrag"/>
              <w:ind w:left="0"/>
            </w:pPr>
            <w:r>
              <w:t>”bolaget”</w:t>
            </w:r>
          </w:p>
        </w:tc>
        <w:tc>
          <w:tcPr>
            <w:tcW w:w="4642" w:type="dxa"/>
          </w:tcPr>
          <w:p w:rsidR="00825F30" w:rsidRPr="0086696E" w:rsidRDefault="00735FE5" w:rsidP="00735FE5">
            <w:pPr>
              <w:pStyle w:val="Normaltindrag"/>
              <w:ind w:left="0"/>
            </w:pPr>
            <w:r>
              <w:t>PharmaLundensis AB</w:t>
            </w:r>
            <w:r w:rsidR="007F5193" w:rsidRPr="0086696E">
              <w:t xml:space="preserve"> (publ)</w:t>
            </w:r>
            <w:r w:rsidR="00825F30" w:rsidRPr="0086696E">
              <w:t xml:space="preserve">, org. nr </w:t>
            </w:r>
            <w:r w:rsidR="00607B91" w:rsidRPr="0086696E">
              <w:t>55</w:t>
            </w:r>
            <w:r>
              <w:t>6708</w:t>
            </w:r>
            <w:r w:rsidR="0086696E">
              <w:t>-</w:t>
            </w:r>
            <w:r>
              <w:t>8074</w:t>
            </w:r>
            <w:r w:rsidR="00825F30" w:rsidRPr="0086696E">
              <w:t>.</w:t>
            </w:r>
          </w:p>
        </w:tc>
      </w:tr>
      <w:tr w:rsidR="00825F30" w:rsidTr="00825F30">
        <w:tc>
          <w:tcPr>
            <w:tcW w:w="3510" w:type="dxa"/>
          </w:tcPr>
          <w:p w:rsidR="00825F30" w:rsidRDefault="00825F30" w:rsidP="00825F30">
            <w:pPr>
              <w:pStyle w:val="Normaltindrag"/>
              <w:ind w:left="0"/>
            </w:pPr>
            <w:r>
              <w:t>”Euroclear”</w:t>
            </w:r>
          </w:p>
        </w:tc>
        <w:tc>
          <w:tcPr>
            <w:tcW w:w="4642" w:type="dxa"/>
          </w:tcPr>
          <w:p w:rsidR="00825F30" w:rsidRDefault="00825F30" w:rsidP="00825F30">
            <w:pPr>
              <w:pStyle w:val="Normaltindrag"/>
              <w:ind w:left="0"/>
            </w:pPr>
            <w:r>
              <w:t>Euroclear Sweden AB.</w:t>
            </w:r>
          </w:p>
        </w:tc>
      </w:tr>
      <w:tr w:rsidR="00825F30" w:rsidTr="00825F30">
        <w:tc>
          <w:tcPr>
            <w:tcW w:w="3510" w:type="dxa"/>
          </w:tcPr>
          <w:p w:rsidR="00825F30" w:rsidRDefault="00825F30" w:rsidP="00825F30">
            <w:pPr>
              <w:pStyle w:val="Normaltindrag"/>
              <w:ind w:left="0"/>
            </w:pPr>
            <w:r>
              <w:t>”marknadsnotering”</w:t>
            </w:r>
          </w:p>
        </w:tc>
        <w:tc>
          <w:tcPr>
            <w:tcW w:w="4642" w:type="dxa"/>
          </w:tcPr>
          <w:p w:rsidR="00825F30" w:rsidRDefault="00825F30" w:rsidP="00825F30">
            <w:pPr>
              <w:pStyle w:val="Normaltindrag"/>
              <w:ind w:left="0"/>
            </w:pPr>
            <w:r>
              <w:t>i samband med aktie, värdepapper eller annan rättighet, notering genom utgivarens försorg av sådan aktie, värdepapper eller annan rättighet på en reglerad marknad</w:t>
            </w:r>
            <w:r w:rsidR="00E11225">
              <w:t>, alternativ handelsplat</w:t>
            </w:r>
            <w:r w:rsidR="00E11225">
              <w:t>t</w:t>
            </w:r>
            <w:r w:rsidR="00E11225">
              <w:t>form</w:t>
            </w:r>
            <w:r>
              <w:t xml:space="preserve"> eller någon annan organiserad marknad</w:t>
            </w:r>
            <w:r>
              <w:t>s</w:t>
            </w:r>
            <w:r>
              <w:t>plats.</w:t>
            </w:r>
          </w:p>
        </w:tc>
      </w:tr>
      <w:tr w:rsidR="00825F30" w:rsidTr="00825F30">
        <w:tc>
          <w:tcPr>
            <w:tcW w:w="3510" w:type="dxa"/>
          </w:tcPr>
          <w:p w:rsidR="00825F30" w:rsidRDefault="00825F30" w:rsidP="00825F30">
            <w:pPr>
              <w:pStyle w:val="Normaltindrag"/>
              <w:ind w:left="0"/>
            </w:pPr>
            <w:r>
              <w:t>”optionsinnehavare”</w:t>
            </w:r>
          </w:p>
        </w:tc>
        <w:tc>
          <w:tcPr>
            <w:tcW w:w="4642" w:type="dxa"/>
          </w:tcPr>
          <w:p w:rsidR="00825F30" w:rsidRDefault="00825F30" w:rsidP="00825F30">
            <w:pPr>
              <w:pStyle w:val="Normaltindrag"/>
              <w:ind w:left="0"/>
            </w:pPr>
            <w:r>
              <w:t>inn</w:t>
            </w:r>
            <w:r w:rsidR="00F33080">
              <w:t>ehavare av teckningsoption</w:t>
            </w:r>
            <w:r>
              <w:t>.</w:t>
            </w:r>
          </w:p>
        </w:tc>
      </w:tr>
      <w:tr w:rsidR="00825F30" w:rsidTr="00825F30">
        <w:tc>
          <w:tcPr>
            <w:tcW w:w="3510" w:type="dxa"/>
          </w:tcPr>
          <w:p w:rsidR="00825F30" w:rsidRDefault="00825F30" w:rsidP="00825F30">
            <w:pPr>
              <w:pStyle w:val="Normaltindrag"/>
              <w:ind w:left="0"/>
            </w:pPr>
            <w:r>
              <w:t>”teckning”</w:t>
            </w:r>
          </w:p>
        </w:tc>
        <w:tc>
          <w:tcPr>
            <w:tcW w:w="4642" w:type="dxa"/>
          </w:tcPr>
          <w:p w:rsidR="00825F30" w:rsidRDefault="00825F30" w:rsidP="00825F30">
            <w:pPr>
              <w:pStyle w:val="Normaltindrag"/>
              <w:ind w:left="0"/>
            </w:pPr>
            <w:r>
              <w:t>teckning, med utnyttjande av teckningsoption, av nya aktier i bolaget mot betalning i pengar enligt dessa villkor.</w:t>
            </w:r>
          </w:p>
        </w:tc>
      </w:tr>
      <w:tr w:rsidR="00825F30" w:rsidTr="00825F30">
        <w:tc>
          <w:tcPr>
            <w:tcW w:w="3510" w:type="dxa"/>
          </w:tcPr>
          <w:p w:rsidR="00825F30" w:rsidRDefault="00825F30" w:rsidP="00825F30">
            <w:pPr>
              <w:pStyle w:val="Normaltindrag"/>
              <w:ind w:left="0"/>
            </w:pPr>
            <w:r>
              <w:t>”teckningskurs”</w:t>
            </w:r>
          </w:p>
        </w:tc>
        <w:tc>
          <w:tcPr>
            <w:tcW w:w="4642" w:type="dxa"/>
          </w:tcPr>
          <w:p w:rsidR="00825F30" w:rsidRDefault="00825F30" w:rsidP="00825F30">
            <w:pPr>
              <w:pStyle w:val="Normaltindrag"/>
              <w:ind w:left="0"/>
            </w:pPr>
            <w:r>
              <w:t xml:space="preserve">den kurs till vilken teckning får ske enligt dessa villkor. </w:t>
            </w:r>
          </w:p>
        </w:tc>
      </w:tr>
      <w:tr w:rsidR="00825F30" w:rsidTr="00825F30">
        <w:tc>
          <w:tcPr>
            <w:tcW w:w="3510" w:type="dxa"/>
          </w:tcPr>
          <w:p w:rsidR="00825F30" w:rsidRDefault="00825F30" w:rsidP="00825F30">
            <w:pPr>
              <w:pStyle w:val="Normaltindrag"/>
              <w:ind w:left="0"/>
            </w:pPr>
            <w:r>
              <w:t>”teckningsoption”</w:t>
            </w:r>
          </w:p>
        </w:tc>
        <w:tc>
          <w:tcPr>
            <w:tcW w:w="4642" w:type="dxa"/>
          </w:tcPr>
          <w:p w:rsidR="00825F30" w:rsidRDefault="00825F30" w:rsidP="00825F30">
            <w:pPr>
              <w:pStyle w:val="Normaltindrag"/>
              <w:ind w:left="0"/>
            </w:pPr>
            <w:r>
              <w:t>rätt att enligt dessa villkor teckna nya aktier i bolaget mot betalning i pengar enligt dessa vil</w:t>
            </w:r>
            <w:r>
              <w:t>l</w:t>
            </w:r>
            <w:r>
              <w:t xml:space="preserve">kor. </w:t>
            </w:r>
          </w:p>
        </w:tc>
      </w:tr>
      <w:tr w:rsidR="00825F30" w:rsidTr="00825F30">
        <w:tc>
          <w:tcPr>
            <w:tcW w:w="3510" w:type="dxa"/>
          </w:tcPr>
          <w:p w:rsidR="00825F30" w:rsidRDefault="00825F30" w:rsidP="00825F30">
            <w:pPr>
              <w:pStyle w:val="Normaltindrag"/>
              <w:ind w:left="0"/>
            </w:pPr>
            <w:r>
              <w:t>”teckningsoptionsbevis”</w:t>
            </w:r>
          </w:p>
        </w:tc>
        <w:tc>
          <w:tcPr>
            <w:tcW w:w="4642" w:type="dxa"/>
          </w:tcPr>
          <w:p w:rsidR="00825F30" w:rsidRDefault="00825F30" w:rsidP="00E11225">
            <w:pPr>
              <w:pStyle w:val="Normaltindrag"/>
              <w:ind w:left="0"/>
            </w:pPr>
            <w:r>
              <w:t xml:space="preserve">skriftligt bevis, ställt till </w:t>
            </w:r>
            <w:r w:rsidR="00E11225">
              <w:t>viss man</w:t>
            </w:r>
            <w:r>
              <w:t>, som bolaget utfärdat som bärare av teckningsoption.</w:t>
            </w:r>
          </w:p>
        </w:tc>
      </w:tr>
      <w:tr w:rsidR="00825F30" w:rsidTr="00825F30">
        <w:tc>
          <w:tcPr>
            <w:tcW w:w="3510" w:type="dxa"/>
          </w:tcPr>
          <w:p w:rsidR="00825F30" w:rsidRDefault="00825F30" w:rsidP="00825F30">
            <w:pPr>
              <w:pStyle w:val="Normaltindrag"/>
              <w:ind w:left="0"/>
            </w:pPr>
            <w:r>
              <w:t>”teckningsperiod”</w:t>
            </w:r>
          </w:p>
        </w:tc>
        <w:tc>
          <w:tcPr>
            <w:tcW w:w="4642" w:type="dxa"/>
          </w:tcPr>
          <w:p w:rsidR="00825F30" w:rsidRDefault="00825F30" w:rsidP="00825F30">
            <w:pPr>
              <w:pStyle w:val="Normaltindrag"/>
              <w:ind w:left="0"/>
            </w:pPr>
            <w:r>
              <w:t>den period under vilken teckning får ske enligt dessa villkor.</w:t>
            </w:r>
          </w:p>
        </w:tc>
      </w:tr>
    </w:tbl>
    <w:p w:rsidR="00825F30" w:rsidRDefault="00825F30" w:rsidP="00825F30">
      <w:pPr>
        <w:pStyle w:val="Nr-Rubrik1"/>
        <w:numPr>
          <w:ilvl w:val="0"/>
          <w:numId w:val="18"/>
        </w:numPr>
      </w:pPr>
      <w:r>
        <w:lastRenderedPageBreak/>
        <w:t>Antal teckningsoptioner m.m.</w:t>
      </w:r>
    </w:p>
    <w:p w:rsidR="00825F30" w:rsidRDefault="00825F30" w:rsidP="00825F30">
      <w:pPr>
        <w:pStyle w:val="Normaltindrag"/>
      </w:pPr>
      <w:r>
        <w:t>Antalet teckningsoptioner uppgår till högst</w:t>
      </w:r>
      <w:r w:rsidR="00CD451C">
        <w:t xml:space="preserve"> </w:t>
      </w:r>
      <w:r w:rsidR="00361E6E">
        <w:t>200</w:t>
      </w:r>
      <w:r w:rsidR="007C3727">
        <w:t> </w:t>
      </w:r>
      <w:r w:rsidR="00361E6E">
        <w:t>000</w:t>
      </w:r>
      <w:r w:rsidR="007C3727">
        <w:t xml:space="preserve"> </w:t>
      </w:r>
      <w:r>
        <w:t>stycken.</w:t>
      </w:r>
    </w:p>
    <w:p w:rsidR="00EA6333" w:rsidRPr="00D25ACC" w:rsidRDefault="00EA6333" w:rsidP="00EA6333">
      <w:pPr>
        <w:ind w:left="851"/>
        <w:rPr>
          <w:rFonts w:cs="Garamond"/>
          <w:color w:val="000000"/>
        </w:rPr>
      </w:pPr>
      <w:r w:rsidRPr="00D25ACC">
        <w:rPr>
          <w:rFonts w:cs="Garamond"/>
          <w:color w:val="000000"/>
        </w:rPr>
        <w:t>Bolaget kommer att föra en optionsbok över teckningsoptionerna. En Optionsinne-havare kan dock</w:t>
      </w:r>
      <w:r w:rsidR="00724065">
        <w:rPr>
          <w:rFonts w:cs="Garamond"/>
          <w:color w:val="000000"/>
        </w:rPr>
        <w:t xml:space="preserve"> alltid hos b</w:t>
      </w:r>
      <w:r>
        <w:rPr>
          <w:rFonts w:cs="Garamond"/>
          <w:color w:val="000000"/>
        </w:rPr>
        <w:t>olaget begära att b</w:t>
      </w:r>
      <w:r w:rsidRPr="00D25ACC">
        <w:rPr>
          <w:rFonts w:cs="Garamond"/>
          <w:color w:val="000000"/>
        </w:rPr>
        <w:t>olaget ställer ut fysiska Teckningsoptionsbevis.</w:t>
      </w:r>
    </w:p>
    <w:p w:rsidR="00EA6333" w:rsidRDefault="00EA6333" w:rsidP="00EA6333">
      <w:pPr>
        <w:pStyle w:val="Normaltindrag"/>
      </w:pPr>
      <w:r>
        <w:t>Utfärdade teckningsoptionsbevis kan inlämnas till bolaget för växling och utbyte till andra valörer.</w:t>
      </w:r>
    </w:p>
    <w:p w:rsidR="00EA6333" w:rsidRDefault="00EA6333" w:rsidP="00EA6333">
      <w:pPr>
        <w:pStyle w:val="Normaltindrag"/>
      </w:pPr>
      <w:r>
        <w:t>Bolaget utfäster sig att verkställa teckning i enlighet med dessa villkor.</w:t>
      </w:r>
    </w:p>
    <w:p w:rsidR="00825F30" w:rsidRDefault="00825F30" w:rsidP="00825F30">
      <w:pPr>
        <w:pStyle w:val="Nr-Rubrik1"/>
        <w:numPr>
          <w:ilvl w:val="0"/>
          <w:numId w:val="18"/>
        </w:numPr>
      </w:pPr>
      <w:r>
        <w:t>Rätt att teckna nya aktier</w:t>
      </w:r>
    </w:p>
    <w:p w:rsidR="0086696E" w:rsidRDefault="0086696E" w:rsidP="00825F30">
      <w:pPr>
        <w:pStyle w:val="Normaltindrag"/>
      </w:pPr>
      <w:r>
        <w:t>V</w:t>
      </w:r>
      <w:r w:rsidRPr="0086696E">
        <w:t xml:space="preserve">arje teckningsoption ger </w:t>
      </w:r>
      <w:r>
        <w:t>optionsinnehavaren</w:t>
      </w:r>
      <w:r w:rsidRPr="0086696E">
        <w:t xml:space="preserve"> </w:t>
      </w:r>
      <w:r>
        <w:t>rätt att teckna en ny aktie i b</w:t>
      </w:r>
      <w:r w:rsidRPr="0086696E">
        <w:t>olaget</w:t>
      </w:r>
      <w:r>
        <w:t xml:space="preserve"> till en teckningskurs uppgående till </w:t>
      </w:r>
      <w:r w:rsidR="007C3727">
        <w:t>2</w:t>
      </w:r>
      <w:r w:rsidRPr="00815ABE">
        <w:t>50</w:t>
      </w:r>
      <w:r w:rsidR="00063AF5">
        <w:t xml:space="preserve"> procent av det volymvikta</w:t>
      </w:r>
      <w:r w:rsidRPr="0086696E">
        <w:t xml:space="preserve">de genomsnittsvärdet för </w:t>
      </w:r>
      <w:r w:rsidR="00724065">
        <w:t>b</w:t>
      </w:r>
      <w:r w:rsidRPr="0086696E">
        <w:t xml:space="preserve">olagets aktie på </w:t>
      </w:r>
      <w:r w:rsidR="00B21326">
        <w:t>AktieTorget</w:t>
      </w:r>
      <w:r w:rsidRPr="0086696E">
        <w:t xml:space="preserve"> under perioden från och med den </w:t>
      </w:r>
      <w:r w:rsidR="002801CE">
        <w:t>3</w:t>
      </w:r>
      <w:r w:rsidR="007C3727">
        <w:t xml:space="preserve"> juni</w:t>
      </w:r>
      <w:r w:rsidRPr="00815ABE">
        <w:t xml:space="preserve"> 2015 till och med den </w:t>
      </w:r>
      <w:r w:rsidR="007C3727">
        <w:t>16 juni</w:t>
      </w:r>
      <w:r w:rsidRPr="00815ABE">
        <w:t xml:space="preserve"> 2015</w:t>
      </w:r>
      <w:r w:rsidRPr="0086696E">
        <w:t>, dock lägst aktiens kvotvärde. Teckningskursen ska avrundas till närmast tiotal öre, varvid 5 öre ska av</w:t>
      </w:r>
      <w:r w:rsidR="00374203">
        <w:t>rundas uppåt.</w:t>
      </w:r>
    </w:p>
    <w:p w:rsidR="00825F30" w:rsidRPr="00162374" w:rsidRDefault="00825F30" w:rsidP="00825F30">
      <w:pPr>
        <w:pStyle w:val="Normaltindrag"/>
      </w:pPr>
      <w:r w:rsidRPr="00162374">
        <w:t xml:space="preserve">Teckningskursen och det antal aktier som varje option ger rätt att teckna kan bli föremål för justering i enlighet med bestämmelserna i punkt </w:t>
      </w:r>
      <w:r w:rsidRPr="00162374">
        <w:fldChar w:fldCharType="begin"/>
      </w:r>
      <w:r w:rsidRPr="00162374">
        <w:instrText xml:space="preserve"> REF _Ref274300756 \r \h </w:instrText>
      </w:r>
      <w:r w:rsidR="00162374">
        <w:instrText xml:space="preserve"> \* MERGEFORMAT </w:instrText>
      </w:r>
      <w:r w:rsidRPr="00162374">
        <w:fldChar w:fldCharType="separate"/>
      </w:r>
      <w:r w:rsidR="00374203">
        <w:t>8</w:t>
      </w:r>
      <w:r w:rsidRPr="00162374">
        <w:fldChar w:fldCharType="end"/>
      </w:r>
      <w:r w:rsidRPr="00162374">
        <w:t xml:space="preserve"> nedan. Om tillämpningen av dessa bestämmelser skulle medföra att teckningskursen kommer att understiga utestående aktiers då gällande kvotvärde ska teckningskursen i stället motsvara då utestående aktiers gällande kvotvärde.</w:t>
      </w:r>
    </w:p>
    <w:p w:rsidR="00825F30" w:rsidRPr="00162374" w:rsidRDefault="00825F30" w:rsidP="00825F30">
      <w:pPr>
        <w:pStyle w:val="Nr-Rubrik1"/>
        <w:numPr>
          <w:ilvl w:val="0"/>
          <w:numId w:val="18"/>
        </w:numPr>
      </w:pPr>
      <w:bookmarkStart w:id="4" w:name="_Ref274300784"/>
      <w:r w:rsidRPr="00162374">
        <w:t>Teckning</w:t>
      </w:r>
      <w:bookmarkEnd w:id="4"/>
    </w:p>
    <w:p w:rsidR="00825F30" w:rsidRPr="00162374" w:rsidRDefault="00825F30" w:rsidP="00825F30">
      <w:pPr>
        <w:pStyle w:val="Normaltindrag"/>
      </w:pPr>
      <w:r w:rsidRPr="00162374">
        <w:t xml:space="preserve">Teckning får ske endast under perioden </w:t>
      </w:r>
      <w:r w:rsidR="00E51A7E" w:rsidRPr="00162374">
        <w:t xml:space="preserve">från och med </w:t>
      </w:r>
      <w:r w:rsidR="0073511D" w:rsidRPr="00815ABE">
        <w:t xml:space="preserve">1 </w:t>
      </w:r>
      <w:r w:rsidR="007C3727">
        <w:t>juli</w:t>
      </w:r>
      <w:r w:rsidR="0086696E" w:rsidRPr="00815ABE">
        <w:t xml:space="preserve"> 2018 </w:t>
      </w:r>
      <w:r w:rsidR="00E51A7E" w:rsidRPr="00815ABE">
        <w:t xml:space="preserve">till och med </w:t>
      </w:r>
      <w:r w:rsidR="007C3727">
        <w:t>31</w:t>
      </w:r>
      <w:r w:rsidR="0086696E" w:rsidRPr="00815ABE">
        <w:t xml:space="preserve"> </w:t>
      </w:r>
      <w:r w:rsidR="007C3727">
        <w:t>juli</w:t>
      </w:r>
      <w:r w:rsidR="0086696E" w:rsidRPr="00815ABE">
        <w:t xml:space="preserve"> 2018</w:t>
      </w:r>
      <w:r w:rsidR="00E51A7E" w:rsidRPr="00162374">
        <w:t>.</w:t>
      </w:r>
    </w:p>
    <w:p w:rsidR="00825F30" w:rsidRDefault="00825F30" w:rsidP="00825F30">
      <w:pPr>
        <w:pStyle w:val="Normaltindrag"/>
      </w:pPr>
      <w:r w:rsidRPr="00162374">
        <w:t>Teckningsperioden kan komma</w:t>
      </w:r>
      <w:r>
        <w:t xml:space="preserve"> att tidigareläggas eller senareläggas i enlighet med bestämmelserna i punkt </w:t>
      </w:r>
      <w:r>
        <w:fldChar w:fldCharType="begin"/>
      </w:r>
      <w:r>
        <w:instrText xml:space="preserve"> REF _Ref274300756 \r \h </w:instrText>
      </w:r>
      <w:r>
        <w:fldChar w:fldCharType="separate"/>
      </w:r>
      <w:r w:rsidR="00374203">
        <w:t>8</w:t>
      </w:r>
      <w:r>
        <w:fldChar w:fldCharType="end"/>
      </w:r>
      <w:r>
        <w:t xml:space="preserve"> nedan.</w:t>
      </w:r>
    </w:p>
    <w:p w:rsidR="00825F30" w:rsidRDefault="00825F30" w:rsidP="00825F30">
      <w:pPr>
        <w:pStyle w:val="Normaltindrag"/>
      </w:pPr>
      <w:r>
        <w:t>Teckning kan ske endast av det hela antal aktier vartill det sammanlagda antalet teckningsoptioner, som samtidigt utnyttjas av en och samma optionsinnehavare för teckning, ger rätt att teckna.</w:t>
      </w:r>
    </w:p>
    <w:p w:rsidR="00825F30" w:rsidRDefault="00825F30" w:rsidP="00825F30">
      <w:pPr>
        <w:pStyle w:val="Normaltindrag"/>
      </w:pPr>
      <w:r>
        <w:t xml:space="preserve">Teckning sker genom att fastställd och av </w:t>
      </w:r>
      <w:r w:rsidR="00B05E90">
        <w:t xml:space="preserve">bolaget </w:t>
      </w:r>
      <w:r>
        <w:t xml:space="preserve">tillhandahållen anmälningssedel (teckningslista), vederbörligen ifylld och undertecknad, ges in tillsammans med de teckningsoptionsbevis </w:t>
      </w:r>
      <w:r w:rsidR="002F28E4">
        <w:t xml:space="preserve">(om sådana utfärdats) </w:t>
      </w:r>
      <w:r>
        <w:t xml:space="preserve">som representerar de teckningsoptioner som utnyttjas för teckning till </w:t>
      </w:r>
      <w:r w:rsidR="00B05E90">
        <w:t>bolaget</w:t>
      </w:r>
      <w:r>
        <w:t xml:space="preserve"> på i anmälningssedeln angiven adress.</w:t>
      </w:r>
    </w:p>
    <w:p w:rsidR="00825F30" w:rsidRDefault="00825F30" w:rsidP="00825F30">
      <w:pPr>
        <w:pStyle w:val="Normaltindrag"/>
      </w:pPr>
      <w:r>
        <w:t xml:space="preserve">Kommer inte sådan anmälningssedel (teckningslista), tillsammans med nyss nämnda teckningsoptionsbevis, </w:t>
      </w:r>
      <w:r w:rsidR="00724065">
        <w:t>b</w:t>
      </w:r>
      <w:r w:rsidR="00B05E90">
        <w:t xml:space="preserve">olaget </w:t>
      </w:r>
      <w:r>
        <w:t>till handa inom teckningsperioden upphör teckningsoptionen.</w:t>
      </w:r>
    </w:p>
    <w:p w:rsidR="00825F30" w:rsidRDefault="00825F30" w:rsidP="00825F30">
      <w:pPr>
        <w:pStyle w:val="Normaltindrag"/>
      </w:pPr>
      <w:r>
        <w:t>Teckning är bindande och kan inte återkallas.</w:t>
      </w:r>
    </w:p>
    <w:p w:rsidR="00825F30" w:rsidRDefault="00825F30" w:rsidP="00825F30">
      <w:pPr>
        <w:pStyle w:val="Nr-Rubrik1"/>
        <w:numPr>
          <w:ilvl w:val="0"/>
          <w:numId w:val="18"/>
        </w:numPr>
      </w:pPr>
      <w:bookmarkStart w:id="5" w:name="_Ref274300789"/>
      <w:r>
        <w:t>Betalning</w:t>
      </w:r>
      <w:bookmarkEnd w:id="5"/>
    </w:p>
    <w:p w:rsidR="00825F30" w:rsidRDefault="00825F30" w:rsidP="00825F30">
      <w:pPr>
        <w:pStyle w:val="Normaltindrag"/>
      </w:pPr>
      <w:r>
        <w:t>Samtidigt med teckning ska betalning erläggas för det antal aktier som teckningen avser. Betalning ska ske kontant till i anmälningssedeln (teckningslistan) angivet bankkonto.</w:t>
      </w:r>
    </w:p>
    <w:p w:rsidR="00825F30" w:rsidRDefault="00825F30" w:rsidP="00825F30">
      <w:pPr>
        <w:pStyle w:val="Nr-Rubrik1"/>
        <w:numPr>
          <w:ilvl w:val="0"/>
          <w:numId w:val="18"/>
        </w:numPr>
      </w:pPr>
      <w:r>
        <w:t>Verkställande av teckning</w:t>
      </w:r>
    </w:p>
    <w:p w:rsidR="00825F30" w:rsidRDefault="00825F30" w:rsidP="00825F30">
      <w:pPr>
        <w:pStyle w:val="Normaltindrag"/>
      </w:pPr>
      <w:r>
        <w:t xml:space="preserve">Sedan teckning skett och betalning erlagts i enlighet med punkterna </w:t>
      </w:r>
      <w:r>
        <w:fldChar w:fldCharType="begin"/>
      </w:r>
      <w:r>
        <w:instrText xml:space="preserve"> REF _Ref274300784 \r \h </w:instrText>
      </w:r>
      <w:r>
        <w:fldChar w:fldCharType="separate"/>
      </w:r>
      <w:r w:rsidR="00374203">
        <w:t>4</w:t>
      </w:r>
      <w:r>
        <w:fldChar w:fldCharType="end"/>
      </w:r>
      <w:r>
        <w:t xml:space="preserve"> och </w:t>
      </w:r>
      <w:r>
        <w:fldChar w:fldCharType="begin"/>
      </w:r>
      <w:r>
        <w:instrText xml:space="preserve"> REF _Ref274300789 \r \h </w:instrText>
      </w:r>
      <w:r>
        <w:fldChar w:fldCharType="separate"/>
      </w:r>
      <w:r w:rsidR="00374203">
        <w:t>5</w:t>
      </w:r>
      <w:r>
        <w:fldChar w:fldCharType="end"/>
      </w:r>
      <w:r>
        <w:t xml:space="preserve"> ovan verkställs teckningen. Därvid bortses från eventuellt överskjutande del av teckningsoption som enligt tredje stycket i punkt </w:t>
      </w:r>
      <w:r>
        <w:fldChar w:fldCharType="begin"/>
      </w:r>
      <w:r>
        <w:instrText xml:space="preserve"> REF _Ref274300784 \r \h </w:instrText>
      </w:r>
      <w:r>
        <w:fldChar w:fldCharType="separate"/>
      </w:r>
      <w:r w:rsidR="00374203">
        <w:t>4</w:t>
      </w:r>
      <w:r>
        <w:fldChar w:fldCharType="end"/>
      </w:r>
      <w:r>
        <w:t xml:space="preserve"> ovan inte får utnyttjas för teckning. Sådan överskjutande del upphör i och med teckningen.</w:t>
      </w:r>
    </w:p>
    <w:p w:rsidR="00825F30" w:rsidRDefault="00825F30" w:rsidP="00825F30">
      <w:pPr>
        <w:pStyle w:val="Normaltindrag"/>
      </w:pPr>
      <w:r>
        <w:t>Teckning verkställs genom att styrelsen för bolaget beslutar att tilldela optionsinnehavaren de nya aktierna, varefter de nya aktierna upptas i bolagets aktiebok (som förs av Euroclear) och på optionsinnehavarens avstämningskonto såsom interimsaktier. Sedan registrering skett hos Bolagsverket blir registreringen av de nya aktierna i aktieboken och på avstämningskontot slutgiltig.</w:t>
      </w:r>
    </w:p>
    <w:p w:rsidR="00825F30" w:rsidRDefault="00825F30" w:rsidP="00825F30">
      <w:pPr>
        <w:pStyle w:val="Normaltindrag"/>
      </w:pPr>
      <w:r>
        <w:t xml:space="preserve">Som framgår av punkt </w:t>
      </w:r>
      <w:r>
        <w:fldChar w:fldCharType="begin"/>
      </w:r>
      <w:r>
        <w:instrText xml:space="preserve"> REF _Ref274300756 \r \h </w:instrText>
      </w:r>
      <w:r>
        <w:fldChar w:fldCharType="separate"/>
      </w:r>
      <w:r w:rsidR="00374203">
        <w:t>8</w:t>
      </w:r>
      <w:r>
        <w:fldChar w:fldCharType="end"/>
      </w:r>
      <w:r>
        <w:t xml:space="preserve"> nedan får teckning i vissa fall verkställas först efter viss senare tidpunkt och då med tillämpning av omräknad teckningskurs och omräknat antal aktier som varje teckningsoption ger rätt att teckna.</w:t>
      </w:r>
    </w:p>
    <w:p w:rsidR="00825F30" w:rsidRDefault="00825F30" w:rsidP="00825F30">
      <w:pPr>
        <w:pStyle w:val="Nr-Rubrik1"/>
        <w:numPr>
          <w:ilvl w:val="0"/>
          <w:numId w:val="18"/>
        </w:numPr>
      </w:pPr>
      <w:r>
        <w:t xml:space="preserve">Utdelning på ny aktie </w:t>
      </w:r>
    </w:p>
    <w:p w:rsidR="00825F30" w:rsidRDefault="00825F30" w:rsidP="00825F30">
      <w:pPr>
        <w:pStyle w:val="Normaltindrag"/>
      </w:pPr>
      <w:r>
        <w:t>Aktie som tillkommit genom teckning ger rätt till vinstutdelning från och med den första avstämningsdag för utdelning som inträffar efter det att teckningen verkställts i sådan utsträckning att aktien upptagits som interimsaktie i bolagets aktiebok.</w:t>
      </w:r>
    </w:p>
    <w:p w:rsidR="00825F30" w:rsidRDefault="00825F30" w:rsidP="00825F30">
      <w:pPr>
        <w:pStyle w:val="Nr-Rubrik1"/>
        <w:numPr>
          <w:ilvl w:val="0"/>
          <w:numId w:val="18"/>
        </w:numPr>
      </w:pPr>
      <w:bookmarkStart w:id="6" w:name="_Ref274300756"/>
      <w:r>
        <w:t>Omräkning av teckningskursen och antal aktier m.m.</w:t>
      </w:r>
      <w:bookmarkEnd w:id="6"/>
    </w:p>
    <w:p w:rsidR="00825F30" w:rsidRDefault="00825F30" w:rsidP="00825F30">
      <w:pPr>
        <w:pStyle w:val="Nr-Rubrik2"/>
        <w:numPr>
          <w:ilvl w:val="1"/>
          <w:numId w:val="18"/>
        </w:numPr>
      </w:pPr>
      <w:bookmarkStart w:id="7" w:name="_Ref274300867"/>
      <w:r>
        <w:t>Fondemission</w:t>
      </w:r>
      <w:bookmarkEnd w:id="7"/>
    </w:p>
    <w:p w:rsidR="00825F30" w:rsidRDefault="00825F30" w:rsidP="00825F30">
      <w:pPr>
        <w:pStyle w:val="Normaltindrag"/>
      </w:pPr>
      <w:r>
        <w:t xml:space="preserve">Genomför bolaget en fondemission ska teckning som sker på sådan tid, att den inte kan verkställas i sådan utsträckning att aktie som tillkommer genom teckningen kan upptas som interimsaktie i bolagets aktiebok senast på sjuttonde kalenderdagen före den bolagsstämma som ska besluta om emissionen, verkställas först sedan stämman beslutat om emissionen. </w:t>
      </w:r>
    </w:p>
    <w:p w:rsidR="00825F30" w:rsidRDefault="00825F30" w:rsidP="00825F30">
      <w:pPr>
        <w:pStyle w:val="Normaltindrag"/>
      </w:pPr>
      <w:r>
        <w:t xml:space="preserve">Aktie som tillkommer genom teckning verkställd efter emissionsbeslutet ger inte rätt att delta i fondemissionen. </w:t>
      </w:r>
    </w:p>
    <w:p w:rsidR="00825F30" w:rsidRDefault="00825F30" w:rsidP="00825F30">
      <w:pPr>
        <w:pStyle w:val="Normaltindrag"/>
      </w:pPr>
      <w:r>
        <w:t xml:space="preserve">Om fondemissionen verkställs ska en omräknad teckningskurs och ett omräknat antal aktier som varje teckningsoption ger rätt att teckna tillämpas vid teckning som verkställs efter emissionsbeslutet. Omräkningarna ska utföras av </w:t>
      </w:r>
      <w:r w:rsidR="001C3001">
        <w:t>bolaget</w:t>
      </w:r>
      <w:r>
        <w:t xml:space="preserve"> enligt följande formler:</w:t>
      </w:r>
    </w:p>
    <w:p w:rsidR="00841D14" w:rsidRDefault="00841D14" w:rsidP="00825F30">
      <w:pPr>
        <w:pStyle w:val="Normaltindrag"/>
      </w:pP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(antalet aktier i bolaget före fondemissionen) / (antalet aktier i bolaget efter fondemissionen)</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 xml:space="preserve"> (omräknat antal aktier som varje teckningsoption ger rätt att teckna) = (föregående antal aktier som varje teckningsoption ger rätt att teckna) x (antalet aktier i bolaget efter fondemissionen) / (antalet aktier i bolaget före fondemissionen)</w:t>
      </w:r>
    </w:p>
    <w:p w:rsidR="00825F30" w:rsidRDefault="00825F30" w:rsidP="00825F30">
      <w:pPr>
        <w:pStyle w:val="Normaltindrag"/>
      </w:pPr>
      <w:r>
        <w:t>När omräkning ska ske enligt ovan ska den omräknade teckningskursen och det omräknade antalet aktier som varje teckningsoption ger rätt att teckna fastställas av bolaget senast två bankdagar efter emissionsbeslutet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rsidR="00825F30" w:rsidRDefault="00825F30" w:rsidP="00825F30">
      <w:pPr>
        <w:pStyle w:val="Nr-Rubrik2"/>
        <w:numPr>
          <w:ilvl w:val="1"/>
          <w:numId w:val="18"/>
        </w:numPr>
      </w:pPr>
      <w:r>
        <w:t>Sammanläggning eller uppdelning (split)</w:t>
      </w:r>
    </w:p>
    <w:p w:rsidR="00825F30" w:rsidRDefault="00825F30" w:rsidP="00825F30">
      <w:pPr>
        <w:pStyle w:val="Normaltindrag"/>
      </w:pPr>
      <w: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sjuttonde kalenderdagen före den bolagsstämma som ska besluta om sammanläggningen eller uppdelningen, verkställas först sedan stämman beslutat om sammanläggningen eller uppdelningen. </w:t>
      </w:r>
    </w:p>
    <w:p w:rsidR="00825F30" w:rsidRDefault="00825F30" w:rsidP="00825F30">
      <w:pPr>
        <w:pStyle w:val="Normaltindrag"/>
      </w:pPr>
      <w:r>
        <w:t xml:space="preserve">Aktie som tillkommer genom teckning verkställd efter beslutet om sammanläggningen eller uppdelningen omfattas inte av sammanläggningen eller uppdelningen. </w:t>
      </w:r>
    </w:p>
    <w:p w:rsidR="00825F30" w:rsidRDefault="00825F30" w:rsidP="00825F30">
      <w:pPr>
        <w:pStyle w:val="Normaltindrag"/>
      </w:pPr>
      <w:r>
        <w:t xml:space="preserve">Om sammanläggningen eller uppdelningen verkställs ska en omräknad teckningskurs och ett omräknat antal aktier som varje teckningsoption ger rätt att teckna tillämpas vid teckning som verkställs efter beslutet om sammanläggningen eller uppdelningen. Omräkningarna ska utföras av </w:t>
      </w:r>
      <w:r w:rsidR="001C3001">
        <w:t xml:space="preserve">bolaget </w:t>
      </w:r>
      <w:r>
        <w:t>enligt följande formler:</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(antalet aktier i bolaget före sammanläggningen eller uppdelningen) / (antalet aktier i bolaget efter sammanläggningen eller uppdelningen)</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 xml:space="preserve"> (omräknat antal aktier som varje teckningsoption ger rätt att teckna) = (föregående antal aktier som varje teckningsoption ger rätt att teckna) x (antalet aktier i bolaget efter sammanläggningen eller uppdelningen) / (antalet aktier i bolaget före sammanläggningen eller uppdelningen)</w:t>
      </w:r>
    </w:p>
    <w:p w:rsidR="00825F30" w:rsidRDefault="00825F30" w:rsidP="00825F30">
      <w:pPr>
        <w:pStyle w:val="Normaltindrag"/>
      </w:pPr>
      <w:r>
        <w:t>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Euroclear. Dessförinnan upptas sådan aktie endast interimistiskt i aktieboken och på avstämningskonto och omfattas inte av sammanläggningen eller uppdelningen.</w:t>
      </w:r>
    </w:p>
    <w:p w:rsidR="00D25654" w:rsidRDefault="00D25654" w:rsidP="00D25654">
      <w:pPr>
        <w:pStyle w:val="Nr-Rubrik2"/>
        <w:numPr>
          <w:ilvl w:val="1"/>
          <w:numId w:val="18"/>
        </w:numPr>
      </w:pPr>
      <w:bookmarkStart w:id="8" w:name="_Ref274300847"/>
      <w:r>
        <w:t>Nyemission av aktier</w:t>
      </w:r>
      <w:bookmarkEnd w:id="8"/>
    </w:p>
    <w:p w:rsidR="00D25654" w:rsidRDefault="00D25654" w:rsidP="00D25654">
      <w:pPr>
        <w:pStyle w:val="Normaltindrag"/>
      </w:pPr>
      <w:r>
        <w:t xml:space="preserve">Genomför </w:t>
      </w:r>
      <w:r w:rsidR="00724065">
        <w:t>b</w:t>
      </w:r>
      <w:r>
        <w:t>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rsidR="00D25654" w:rsidRDefault="00D25654" w:rsidP="00D25654">
      <w:pPr>
        <w:pStyle w:val="a-lista"/>
        <w:numPr>
          <w:ilvl w:val="0"/>
          <w:numId w:val="21"/>
        </w:numPr>
        <w:tabs>
          <w:tab w:val="clear" w:pos="7659"/>
          <w:tab w:val="num" w:pos="851"/>
        </w:tabs>
        <w:ind w:left="1418"/>
      </w:pPr>
      <w:r>
        <w:t xml:space="preserve">Beslutas emissionen av styrelsen under förutsättning av bolagsstämmans godkännande eller med stöd av bolagsstämmans bemyndigande ska i emissionsbeslutet anges den senaste dag då teckning ska vara verkställd för att aktie som tillkommer genom teckningen ska ge rätt att delta i emissionen. Sådan dag får inte infalla tidigare än tionde kalenderdagen efter offentliggörandet av styrelsens emissionsbeslut eller, om beslutet inte offentliggörs, efter underrättelse till optionsinnehavarna om styrelsens emissionsbeslut. Teckning som sker på sådan tid, att den inte kan verkställas i sådan utsträckning att aktie som tillkommer genom teckningen kan upptas som interimsaktie i bolagets aktiebok senast på nämnda dag, ska verkställas först efter den dagen. </w:t>
      </w:r>
    </w:p>
    <w:p w:rsidR="00D25654" w:rsidRDefault="00D25654" w:rsidP="00D25654">
      <w:pPr>
        <w:pStyle w:val="Normaltindrag"/>
        <w:ind w:left="1418"/>
      </w:pPr>
      <w:r>
        <w:t xml:space="preserve">Aktie som tillkommer genom teckning verkställd efter den ovan nämnda dagen ger inte rätt att delta i nyemissionen. </w:t>
      </w:r>
    </w:p>
    <w:p w:rsidR="00D25654" w:rsidRDefault="00D25654" w:rsidP="00D25654">
      <w:pPr>
        <w:pStyle w:val="a-lista"/>
        <w:numPr>
          <w:ilvl w:val="0"/>
          <w:numId w:val="15"/>
        </w:numPr>
        <w:tabs>
          <w:tab w:val="clear" w:pos="7659"/>
          <w:tab w:val="num" w:pos="851"/>
        </w:tabs>
        <w:ind w:left="1418"/>
      </w:pPr>
      <w:r>
        <w:t xml:space="preserve">Beslutas emissionen av bolagsstämman ska teckning som sker på sådan tid, att den inte kan verkställas i sådan utsträckning att aktie som tillkommer genom teckningen kan upptas som interimsaktie i bolagets aktiebok senast på sjuttonde kalenderdagen före den bolagsstämma som ska besluta om emissionen, verkställas först sedan stämman beslutat om emissionen. </w:t>
      </w:r>
    </w:p>
    <w:p w:rsidR="00D25654" w:rsidRDefault="00D25654" w:rsidP="00D25654">
      <w:pPr>
        <w:ind w:left="1418"/>
      </w:pPr>
      <w:r>
        <w:t xml:space="preserve">Aktie som tillkommer genom teckning verkställd efter emissionsbeslutet ger inte rätt att delta i nyemissionen. </w:t>
      </w:r>
    </w:p>
    <w:p w:rsidR="00D25654" w:rsidRDefault="00D25654" w:rsidP="00D25654">
      <w:pPr>
        <w:pStyle w:val="Normaltindrag"/>
      </w:pPr>
      <w:r>
        <w:t>Om nyemissionen verkställs ska en omräknad teckningskurs och ett omräknat antal aktier som varje teckningsoption ger rätt att teckna tillämpas vid teckning som verkställs vid sådan tid, att aktie som tillkommer genom teckningen inte ger rätt att delta i nyemissionen. Omräkningarna ska utföras av bolaget enligt följande formler:</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(omräknat antal aktier som varje teckningsoption ger rätt att teckna) = (föregående antal aktier som varje teckningsoption ger rätt att teckna) x ((aktiens genomsnittskurs) + (teckningsrättens värde)) / (aktiens genomsnittskurs)</w:t>
      </w:r>
    </w:p>
    <w:p w:rsidR="00825F30" w:rsidRDefault="00825F30" w:rsidP="00825F30">
      <w:pPr>
        <w:pStyle w:val="Normaltindrag"/>
      </w:pPr>
      <w:r>
        <w:t>Aktiens genomsnittskurs ska anses motsvara genomsnittet av det för varje handelsdag under den enligt emissionsbeslutet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rsidR="00825F30" w:rsidRDefault="00825F30" w:rsidP="00825F30">
      <w:pPr>
        <w:pStyle w:val="Normaltindrag"/>
      </w:pPr>
      <w:r>
        <w:t>Teckningsrättens värde ska framräknas enligt följande formel, dock att teckningsrättens värde ska bestämmas till noll om formeln ger ett negativt värde: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(teckningsrättens värde) = (det antal aktier som högst kan komma att utges enligt emissionsbeslutet) x ((aktiens genomsnittskurs) – (teckningskursen för de nya aktierna)) /(antalet aktier i bolaget före emissionsbeslutet)</w:t>
      </w:r>
    </w:p>
    <w:p w:rsidR="00825F30" w:rsidRDefault="00825F30" w:rsidP="00825F30">
      <w:pPr>
        <w:pStyle w:val="Normaltindrag"/>
      </w:pPr>
      <w: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rsidR="00825F30" w:rsidRDefault="00825F30" w:rsidP="00825F30">
      <w:pPr>
        <w:pStyle w:val="Nr-Rubrik2"/>
        <w:numPr>
          <w:ilvl w:val="1"/>
          <w:numId w:val="18"/>
        </w:numPr>
      </w:pPr>
      <w:bookmarkStart w:id="9" w:name="_Ref274300876"/>
      <w:r>
        <w:t>Emission av teckningsoptioner eller konvertibler</w:t>
      </w:r>
      <w:bookmarkEnd w:id="9"/>
    </w:p>
    <w:p w:rsidR="00825F30" w:rsidRDefault="00825F30" w:rsidP="00825F30">
      <w:pPr>
        <w:pStyle w:val="Normaltindrag"/>
      </w:pPr>
      <w:r>
        <w:t xml:space="preserve">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w:t>
      </w:r>
      <w:r>
        <w:fldChar w:fldCharType="begin"/>
      </w:r>
      <w:r>
        <w:instrText xml:space="preserve"> REF _Ref274300847 \r \h </w:instrText>
      </w:r>
      <w:r>
        <w:fldChar w:fldCharType="separate"/>
      </w:r>
      <w:r w:rsidR="00374203">
        <w:t>8.3</w:t>
      </w:r>
      <w:r>
        <w:fldChar w:fldCharType="end"/>
      </w:r>
      <w:r>
        <w:t xml:space="preserve"> ovan äga motsvarande tillämpning beträffande verkställande av teckning och den rätt att delta i emissionen som aktie som tillkommer genom teckning ger.</w:t>
      </w:r>
    </w:p>
    <w:p w:rsidR="00825F30" w:rsidRDefault="00825F30" w:rsidP="00825F30">
      <w:pPr>
        <w:pStyle w:val="Normaltindrag"/>
      </w:pPr>
      <w:r>
        <w:t xml:space="preserve">Om emissionen verkställs ska en omräknad teckningskurs och ett omräknat antal aktier som varje teckningsoption ger rätt att teckna tillämpas vid teckning som verkställs vid sådan tid att aktie som tillkommer genom teckningen inte ger rätt att delta i emissionen. Omräkningarna ska utföras av </w:t>
      </w:r>
      <w:r w:rsidR="006D161E">
        <w:t xml:space="preserve">bolaget </w:t>
      </w:r>
      <w:r>
        <w:t>enligt följande formler:</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(omräknat antal aktier som varje teckningsoption ger rätt att teckna) = (föregående antal aktier som varje teckningsoption ger rätt att teckna) x ((aktiens genomsnittskurs) + (teckningsrättens värde)) / (aktiens genomsnittskurs)</w:t>
      </w:r>
    </w:p>
    <w:p w:rsidR="00825F30" w:rsidRDefault="00825F30" w:rsidP="00825F30">
      <w:pPr>
        <w:pStyle w:val="Normaltindrag"/>
      </w:pPr>
      <w:r>
        <w:t xml:space="preserve">Aktiens genomsnittskurs ska framräknas med motsvarande tillämpning av bestämmelserna i punkt </w:t>
      </w:r>
      <w:r>
        <w:fldChar w:fldCharType="begin"/>
      </w:r>
      <w:r>
        <w:instrText xml:space="preserve"> REF _Ref274300847 \r \h </w:instrText>
      </w:r>
      <w:r>
        <w:fldChar w:fldCharType="separate"/>
      </w:r>
      <w:r w:rsidR="00374203">
        <w:t>8.3</w:t>
      </w:r>
      <w:r>
        <w:fldChar w:fldCharType="end"/>
      </w:r>
      <w:r>
        <w:t xml:space="preserve"> ovan.</w:t>
      </w:r>
    </w:p>
    <w:p w:rsidR="00B35D3A" w:rsidRDefault="00B35D3A" w:rsidP="00B35D3A">
      <w:pPr>
        <w:pStyle w:val="Normaltindrag"/>
      </w:pPr>
      <w:r>
        <w:t>Teckningsrättens värde ska fastställas med ledning av den förändring i marknadsvärde avseende bolagets aktier som kan bedömas ha uppkommit till följd av emissionen.</w:t>
      </w:r>
    </w:p>
    <w:p w:rsidR="00825F30" w:rsidRDefault="00825F30" w:rsidP="00825F30">
      <w:pPr>
        <w:pStyle w:val="Normaltindrag"/>
      </w:pPr>
      <w:r>
        <w:t xml:space="preserve">När omräkning ska ske enligt ovan ska den omräknande teckningskursen och det omräknade antalet aktier som varje teckningsoption ger rätt att teckna fastställas av </w:t>
      </w:r>
      <w:r w:rsidR="006D161E">
        <w:t>bolaget</w:t>
      </w:r>
      <w:r>
        <w:t xml:space="preserve">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rsidR="00825F30" w:rsidRDefault="00825F30" w:rsidP="00825F30">
      <w:pPr>
        <w:pStyle w:val="Nr-Rubrik2"/>
        <w:numPr>
          <w:ilvl w:val="1"/>
          <w:numId w:val="18"/>
        </w:numPr>
      </w:pPr>
      <w:bookmarkStart w:id="10" w:name="_Ref274300915"/>
      <w:r>
        <w:t>Vissa andra erbjudanden till aktieägarna</w:t>
      </w:r>
      <w:bookmarkEnd w:id="10"/>
    </w:p>
    <w:p w:rsidR="00825F30" w:rsidRDefault="00825F30" w:rsidP="00825F30">
      <w:pPr>
        <w:pStyle w:val="Normaltindrag"/>
      </w:pPr>
      <w:r>
        <w:t xml:space="preserve">Genomför bolaget i andra fall än som avses i punkterna </w:t>
      </w:r>
      <w:r>
        <w:fldChar w:fldCharType="begin"/>
      </w:r>
      <w:r>
        <w:instrText xml:space="preserve"> REF _Ref274300867 \r \h </w:instrText>
      </w:r>
      <w:r>
        <w:fldChar w:fldCharType="separate"/>
      </w:r>
      <w:r w:rsidR="00374203">
        <w:t>8.1</w:t>
      </w:r>
      <w:r>
        <w:fldChar w:fldCharType="end"/>
      </w:r>
      <w:r>
        <w:t>–</w:t>
      </w:r>
      <w:r>
        <w:fldChar w:fldCharType="begin"/>
      </w:r>
      <w:r>
        <w:instrText xml:space="preserve"> REF _Ref274300876 \r \h </w:instrText>
      </w:r>
      <w:r>
        <w:fldChar w:fldCharType="separate"/>
      </w:r>
      <w:r w:rsidR="00374203">
        <w:t>8.4</w:t>
      </w:r>
      <w:r>
        <w:fldChar w:fldCharType="end"/>
      </w:r>
      <w:r>
        <w:t xml:space="preserve"> ovan (i) ett erbjudande till aktieägarna att med företrädesrätt enligt principerna i 13 kap. 1 § första stycket aktiebolagslagen förvärva värdepapper eller rättighet av något slag av bolaget eller (ii) en utdelning till aktieägarna, med nyss nämnd företrädesrätt, av sådana värdepapper eller rättigheter (i båda fallen ”erbjudandet”), ska bestämmelserna i första stycket (a) och (b) i punkt </w:t>
      </w:r>
      <w:r>
        <w:fldChar w:fldCharType="begin"/>
      </w:r>
      <w:r>
        <w:instrText xml:space="preserve"> REF _Ref274300847 \r \h </w:instrText>
      </w:r>
      <w:r>
        <w:fldChar w:fldCharType="separate"/>
      </w:r>
      <w:r w:rsidR="00374203">
        <w:t>8.3</w:t>
      </w:r>
      <w:r>
        <w:fldChar w:fldCharType="end"/>
      </w:r>
      <w:r>
        <w:t xml:space="preserve"> ovan äga motsvarande tillämpning beträffande verkställande av teckning och den rätt att delta i erbjudandet som aktie som tillkommer genom teckning ger.</w:t>
      </w:r>
    </w:p>
    <w:p w:rsidR="00825F30" w:rsidRDefault="00825F30" w:rsidP="00825F30">
      <w:pPr>
        <w:pStyle w:val="Normaltindrag"/>
      </w:pPr>
      <w:r>
        <w:t xml:space="preserve">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w:t>
      </w:r>
      <w:r w:rsidR="006D161E">
        <w:t>bolaget</w:t>
      </w:r>
      <w:r>
        <w:t xml:space="preserve"> enligt följande formler:</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(aktiens genomsnittliga marknadskurs under den för erbjudandet fastställda anmälningstiden eller, i händelse av utdelning, under en period om 25 handelsdagar räknat fr.o.m. den dag då aktien noteras utan rätt till del av utdelningen (”aktiens genomsnittskurs”)) / ((aktiens genomsnittskurs) + (det teoretiska värdet av rätten att delta i erbjudandet (”inköpsrättens värde”)))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 xml:space="preserve"> (omräknat antal aktier som varje teckningsoption ger rätt att teckna) = (föregående antal aktier som varje teckningsoption ger rätt att teckna) x ((aktiens genomsnittskurs) + (inköpsrättens värde)) / (aktiens genomsnittskurs)</w:t>
      </w:r>
    </w:p>
    <w:p w:rsidR="00825F30" w:rsidRDefault="00825F30" w:rsidP="00825F30">
      <w:pPr>
        <w:pStyle w:val="Normaltindrag"/>
      </w:pPr>
      <w:r>
        <w:t xml:space="preserve">Aktiens genomsnittskurs ska framräknas med motsvarande tillämpning av bestämmelserna i punkt </w:t>
      </w:r>
      <w:r>
        <w:fldChar w:fldCharType="begin"/>
      </w:r>
      <w:r>
        <w:instrText xml:space="preserve"> REF _Ref274300847 \r \h </w:instrText>
      </w:r>
      <w:r>
        <w:fldChar w:fldCharType="separate"/>
      </w:r>
      <w:r w:rsidR="00374203">
        <w:t>8.3</w:t>
      </w:r>
      <w:r>
        <w:fldChar w:fldCharType="end"/>
      </w:r>
      <w:r>
        <w:t xml:space="preserve"> ovan.</w:t>
      </w:r>
    </w:p>
    <w:p w:rsidR="00825F30" w:rsidRDefault="00825F30" w:rsidP="00825F30">
      <w:pPr>
        <w:pStyle w:val="Normaltindrag"/>
      </w:pPr>
      <w: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rsidR="00825F30" w:rsidRDefault="00825F30" w:rsidP="00825F30">
      <w:pPr>
        <w:pStyle w:val="Normaltindrag"/>
      </w:pPr>
      <w:r>
        <w:t>Om aktieägarna inte erhåller inköpsrätter eller om dessa inte är föremål för marknadsnotering, men de värdepapper eller rättigheter som omfattas av erbjudandet antingen redan är marknadsnoterade eller marknadsnoteras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eller (ii) om värdepappren eller rättigheterna i fråga marknadsnoteras i samband med erbjudandet anses motsvara genomsnittet av det för varje handelsdag under en period om 25 handelsdagar räknat fr.o.m. första dagen för sådan notering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teckna enligt formlerna ovan aktiens genomsnittskurs avse aktiens genomsnittliga marknadskurs under den i (ii) i detta stycke angivna perioden om 25 handelsdagar i stället för den period som anges i formlerna ovan.</w:t>
      </w:r>
    </w:p>
    <w:p w:rsidR="00825F30" w:rsidRDefault="00825F30" w:rsidP="00825F30">
      <w:pPr>
        <w:pStyle w:val="Normaltindrag"/>
      </w:pPr>
      <w:r>
        <w:t>Om aktieägarna inte erhåller inköpsrätter eller om dessa inte är föremål för marknadsnotering, och de värdepapper eller rättigheter som omfattas av erbjudandet varken redan är marknadsnoterade eller marknadsnoteras i samband med erbjudandet, ska inköpsrättens värde så långt möjligt fastställas med ledning av den förändring i marknadsvärde avseende bolagets aktier som enligt av bolaget anlitad oberoende värderingsman kan bedömas ha uppkommit till följd av erbjudandet.</w:t>
      </w:r>
    </w:p>
    <w:p w:rsidR="00825F30" w:rsidRDefault="00825F30" w:rsidP="00825F30">
      <w:pPr>
        <w:pStyle w:val="Normaltindrag"/>
      </w:pPr>
      <w:r>
        <w:t xml:space="preserve">När omräkning ska ske enligt ovan ska den omräknande teckningskursen och det omräknade antalet aktier som varje teckningsoption ger rätt att teckna fastställas av </w:t>
      </w:r>
      <w:r w:rsidR="00B578A1">
        <w:t xml:space="preserve">bolaget </w:t>
      </w:r>
      <w:r>
        <w:t>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rsidR="00FD0979" w:rsidRDefault="00FD0979" w:rsidP="00FD0979">
      <w:pPr>
        <w:pStyle w:val="Nr-Rubrik2"/>
        <w:numPr>
          <w:ilvl w:val="1"/>
          <w:numId w:val="18"/>
        </w:numPr>
      </w:pPr>
      <w:bookmarkStart w:id="11" w:name="_Ref274301103"/>
      <w:r>
        <w:t>Utdelning</w:t>
      </w:r>
    </w:p>
    <w:p w:rsidR="00FD0979" w:rsidRDefault="00FD0979" w:rsidP="00FD0979">
      <w:pPr>
        <w:pStyle w:val="Normaltindrag"/>
      </w:pPr>
      <w:r>
        <w:t xml:space="preserve">Lämnar bolaget kontant utdelning till aktieägarna ska teckning som sker på sådan tid, att den inte kan verkställas i sådan utsträckning att aktie som tillkommer genom teckningen kan upptas som interimsaktie i bolagets aktiebok senast på sjuttonde kalenderdagen före den bolagsstämma som ska besluta om utdelningen, verkställas först sedan stämman beslutat om utdelningen. </w:t>
      </w:r>
    </w:p>
    <w:p w:rsidR="00FD0979" w:rsidRDefault="00FD0979" w:rsidP="00FD0979">
      <w:pPr>
        <w:pStyle w:val="Normaltindrag"/>
      </w:pPr>
      <w:r>
        <w:t xml:space="preserve">Aktie som tillkommer genom teckning verkställd efter utdelningsbeslutet ger inte rätt att erhålla del av utdelningen. </w:t>
      </w:r>
    </w:p>
    <w:p w:rsidR="00FD0979" w:rsidRDefault="00FD0979" w:rsidP="00FD0979">
      <w:pPr>
        <w:pStyle w:val="Normaltindrag"/>
      </w:pPr>
      <w: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utföras av bolaget enligt följande formler:</w:t>
      </w:r>
    </w:p>
    <w:p w:rsidR="00FD0979" w:rsidRPr="000216BE" w:rsidRDefault="00FD0979" w:rsidP="00FD0979">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(aktiens genomsnittliga marknadskurs under en period om 25 handelsdagar räknat fr.o.m. den dag då aktien no</w:t>
      </w:r>
      <w:r>
        <w:rPr>
          <w:i/>
          <w:color w:val="000000"/>
        </w:rPr>
        <w:t xml:space="preserve">teras utan rätt till del av </w:t>
      </w:r>
      <w:r w:rsidRPr="000216BE">
        <w:rPr>
          <w:i/>
          <w:color w:val="000000"/>
        </w:rPr>
        <w:t>utdelningen (”aktiens genomsnittskurs”)) /((aktiens genomsnittskurs) + (utdelningen som utbetalas per aktie))</w:t>
      </w:r>
    </w:p>
    <w:p w:rsidR="00FD0979" w:rsidRPr="000216BE" w:rsidRDefault="00FD0979" w:rsidP="00FD0979">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(omräknat antal aktier som varje teckningsoption ger rätt att teckna) = (föregående antal aktier som varje teckningsoption ger rätt att teckna) x ((aktiens genomsnittskurs) + (utdelningen som utbetalas per aktie)) / (aktiens genomsnittskurs)</w:t>
      </w:r>
    </w:p>
    <w:p w:rsidR="00FD0979" w:rsidRDefault="00FD0979" w:rsidP="00FD0979">
      <w:pPr>
        <w:pStyle w:val="Normaltindrag"/>
      </w:pPr>
      <w:r>
        <w:t xml:space="preserve">Aktiens genomsnittskurs ska framräknas med motsvarande tillämpning av bestämmelserna i punkt </w:t>
      </w:r>
      <w:r>
        <w:fldChar w:fldCharType="begin"/>
      </w:r>
      <w:r>
        <w:instrText xml:space="preserve"> REF _Ref274300847 \r \h </w:instrText>
      </w:r>
      <w:r>
        <w:fldChar w:fldCharType="separate"/>
      </w:r>
      <w:r w:rsidR="00374203">
        <w:t>8.3</w:t>
      </w:r>
      <w:r>
        <w:fldChar w:fldCharType="end"/>
      </w:r>
      <w:r>
        <w:t xml:space="preserve"> ovan.</w:t>
      </w:r>
    </w:p>
    <w:p w:rsidR="00D2173A" w:rsidRDefault="00FD0979" w:rsidP="00FD0979">
      <w:pPr>
        <w:pStyle w:val="Normaltindrag"/>
      </w:pPr>
      <w:r>
        <w:t>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utdelningen.</w:t>
      </w:r>
    </w:p>
    <w:p w:rsidR="00825F30" w:rsidRDefault="00825F30" w:rsidP="00825F30">
      <w:pPr>
        <w:pStyle w:val="Nr-Rubrik2"/>
        <w:numPr>
          <w:ilvl w:val="1"/>
          <w:numId w:val="18"/>
        </w:numPr>
      </w:pPr>
      <w:bookmarkStart w:id="12" w:name="_Ref274301012"/>
      <w:bookmarkEnd w:id="11"/>
      <w:r>
        <w:t xml:space="preserve">Minskning av aktiekapitalet </w:t>
      </w:r>
      <w:bookmarkEnd w:id="12"/>
    </w:p>
    <w:p w:rsidR="00825F30" w:rsidRDefault="00825F30" w:rsidP="00825F30">
      <w:pPr>
        <w:pStyle w:val="Normaltindrag"/>
      </w:pPr>
      <w: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sjuttonde kalenderdagen före den bolagsstämma som ska besluta om minskningen, verkställas först sedan stämman beslutat om minskningen. </w:t>
      </w:r>
    </w:p>
    <w:p w:rsidR="00825F30" w:rsidRDefault="00825F30" w:rsidP="00825F30">
      <w:pPr>
        <w:pStyle w:val="Normaltindrag"/>
      </w:pPr>
      <w:r>
        <w:t>Aktie som tillkommer genom teckning verkställd efter minskningsbeslutet ger inte rätt att erhålla del av vad som återbetalas och omfattas inte av eventuell indragning/inlösen av aktier.</w:t>
      </w:r>
    </w:p>
    <w:p w:rsidR="00825F30" w:rsidRDefault="00825F30" w:rsidP="00825F30">
      <w:pPr>
        <w:pStyle w:val="Normaltindrag"/>
      </w:pPr>
      <w:r>
        <w:t xml:space="preserve">Om minskningen verkställs ska en omräknad teckningskurs och ett omräknat antal aktier som varje teckningsoption ger rätt att teckna tillämpas vid teckning som verkställs efter minskningsbeslutet. Omräkningarna ska utföras av </w:t>
      </w:r>
      <w:r w:rsidR="0055066A">
        <w:t>bolaget</w:t>
      </w:r>
      <w:r>
        <w:t xml:space="preserve"> enligt följande formler:</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 xml:space="preserve"> (omräknat antal aktier som varje teckningsoption ger rätt att teckna) = (föregående antal aktier som varje teckningsoption ger rätt att teckna) x ((aktiens genomsnittskurs) + (det faktiska belopp som återbetalas per aktie)) / (aktiens genomsnittskurs)</w:t>
      </w:r>
    </w:p>
    <w:p w:rsidR="00825F30" w:rsidRDefault="00825F30" w:rsidP="00825F30">
      <w:pPr>
        <w:pStyle w:val="Normaltindrag"/>
      </w:pPr>
      <w: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rsidR="00825F30" w:rsidRPr="000216BE" w:rsidRDefault="00825F30" w:rsidP="00825F30">
      <w:pPr>
        <w:pStyle w:val="Normaltindrag"/>
        <w:pBdr>
          <w:top w:val="single" w:sz="4" w:space="1" w:color="auto"/>
          <w:left w:val="single" w:sz="4" w:space="4" w:color="auto"/>
          <w:bottom w:val="single" w:sz="4" w:space="1" w:color="auto"/>
          <w:right w:val="single" w:sz="4" w:space="4" w:color="auto"/>
        </w:pBdr>
        <w:rPr>
          <w:i/>
          <w:color w:val="000000"/>
        </w:rPr>
      </w:pPr>
      <w:r w:rsidRPr="000216BE">
        <w:rPr>
          <w:i/>
          <w:color w:val="000000"/>
        </w:rPr>
        <w:t>(beräknat återbetalningsbelopp per aktie) = ((det faktiska belopp som återbetalas per inlöst aktie) – (aktiens genomsnittliga marknadskurs under en period om 25 handelsdagar närmast före den dag då aktien noteras utan rätt till deltagande i minskningen (”aktiens genomsnittskurs”))) / ((det antal aktier i bolaget som ligger till grund för inlösen av en aktie) – 1)</w:t>
      </w:r>
    </w:p>
    <w:p w:rsidR="00825F30" w:rsidRDefault="00825F30" w:rsidP="00825F30">
      <w:pPr>
        <w:pStyle w:val="Normaltindrag"/>
      </w:pPr>
      <w:r>
        <w:t xml:space="preserve">Aktiens genomsnittskurs ska framräknas med motsvarande tillämpning av bestämmelserna i punkt </w:t>
      </w:r>
      <w:r>
        <w:fldChar w:fldCharType="begin"/>
      </w:r>
      <w:r>
        <w:instrText xml:space="preserve"> REF _Ref274300847 \r \h </w:instrText>
      </w:r>
      <w:r>
        <w:fldChar w:fldCharType="separate"/>
      </w:r>
      <w:r w:rsidR="00374203">
        <w:t>8.3</w:t>
      </w:r>
      <w:r>
        <w:fldChar w:fldCharType="end"/>
      </w:r>
      <w:r>
        <w:t xml:space="preserve"> ovan.</w:t>
      </w:r>
    </w:p>
    <w:p w:rsidR="00825F30" w:rsidRDefault="00825F30" w:rsidP="00825F30">
      <w:pPr>
        <w:pStyle w:val="Normaltindrag"/>
      </w:pPr>
      <w:r>
        <w:t>När omräkning ska ske enligt ovan ska den omräknande teckningskursen och det omräknade antalet aktier som varje teckningsoption ger rätt att teckna fastställas av bolaget senast två bankdagar efter utgången av den senast infallande perioden om 25 handelsdagar som enligt ovan ska tillämpas vid omräkningarna samt sker slutlig registrering i aktieboken och på avstämningskonto av aktie som tillkommer genom teckning först sedan omräkningarna fastställts. Dessförinnan 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rsidR="00825F30" w:rsidRDefault="00825F30" w:rsidP="00825F30">
      <w:pPr>
        <w:pStyle w:val="Normaltindrag"/>
      </w:pPr>
      <w:r w:rsidRPr="008E0540">
        <w:t>Genomför bolaget en minskning av aktiekapitalet med återbetalning till aktieägarna genom inlösen, och är minskningen inte obligatorisk</w:t>
      </w:r>
      <w:r w:rsidR="008E0540" w:rsidRPr="008E0540">
        <w:t>,</w:t>
      </w:r>
      <w:r w:rsidRPr="008E0540">
        <w:t xml:space="preserve"> där, enligt bolagets bedömning, sådan minskning med hänsyn till dess tekniska utformning och ekonomiska effekter är att jämställa med en minskning som är obligatorisk, ska bestämmelserna ovan i denna punkt </w:t>
      </w:r>
      <w:r w:rsidRPr="008E0540">
        <w:fldChar w:fldCharType="begin"/>
      </w:r>
      <w:r w:rsidRPr="008E0540">
        <w:instrText xml:space="preserve"> REF _Ref274301012 \r \h </w:instrText>
      </w:r>
      <w:r w:rsidR="008E0540" w:rsidRPr="008E0540">
        <w:instrText xml:space="preserve"> \* MERGEFORMAT </w:instrText>
      </w:r>
      <w:r w:rsidRPr="008E0540">
        <w:fldChar w:fldCharType="separate"/>
      </w:r>
      <w:r w:rsidR="00374203">
        <w:t>8.7</w:t>
      </w:r>
      <w:r w:rsidRPr="008E0540">
        <w:fldChar w:fldCharType="end"/>
      </w:r>
      <w:r w:rsidRPr="008E0540">
        <w:t xml:space="preserve"> tillämpas och en omräkning av teckningskursen och antalet aktier som varje teckningsoption ger rätt att teckna utföras med tillämpning av så långt möjligt de principer som anges i denna punkt </w:t>
      </w:r>
      <w:r w:rsidRPr="008E0540">
        <w:fldChar w:fldCharType="begin"/>
      </w:r>
      <w:r w:rsidRPr="008E0540">
        <w:instrText xml:space="preserve"> REF _Ref274301012 \r \h </w:instrText>
      </w:r>
      <w:r w:rsidR="008E0540" w:rsidRPr="008E0540">
        <w:instrText xml:space="preserve"> \* MERGEFORMAT </w:instrText>
      </w:r>
      <w:r w:rsidRPr="008E0540">
        <w:fldChar w:fldCharType="separate"/>
      </w:r>
      <w:r w:rsidR="00374203">
        <w:t>8.7</w:t>
      </w:r>
      <w:r w:rsidRPr="008E0540">
        <w:fldChar w:fldCharType="end"/>
      </w:r>
      <w:r w:rsidRPr="008E0540">
        <w:t>.</w:t>
      </w:r>
    </w:p>
    <w:p w:rsidR="00825F30" w:rsidRDefault="00825F30" w:rsidP="00825F30">
      <w:pPr>
        <w:pStyle w:val="Nr-Rubrik2"/>
        <w:numPr>
          <w:ilvl w:val="1"/>
          <w:numId w:val="18"/>
        </w:numPr>
      </w:pPr>
      <w:bookmarkStart w:id="13" w:name="_Ref274300957"/>
      <w:r>
        <w:t>Omräkning om bolagets aktier inte är marknadsnoterade</w:t>
      </w:r>
      <w:bookmarkEnd w:id="13"/>
    </w:p>
    <w:p w:rsidR="00825F30" w:rsidRDefault="00825F30" w:rsidP="00961468">
      <w:pPr>
        <w:pStyle w:val="Styckenr111"/>
        <w:numPr>
          <w:ilvl w:val="0"/>
          <w:numId w:val="0"/>
        </w:numPr>
        <w:ind w:left="851"/>
      </w:pPr>
      <w:r>
        <w:t xml:space="preserve">Genomför bolaget en åtgärd som avses i punkterna </w:t>
      </w:r>
      <w:r>
        <w:fldChar w:fldCharType="begin"/>
      </w:r>
      <w:r>
        <w:instrText xml:space="preserve"> REF _Ref274300847 \r \h </w:instrText>
      </w:r>
      <w:r>
        <w:fldChar w:fldCharType="separate"/>
      </w:r>
      <w:r w:rsidR="00374203">
        <w:t>8.3</w:t>
      </w:r>
      <w:r>
        <w:fldChar w:fldCharType="end"/>
      </w:r>
      <w:r>
        <w:t xml:space="preserve">– </w:t>
      </w:r>
      <w:r>
        <w:fldChar w:fldCharType="begin"/>
      </w:r>
      <w:r>
        <w:instrText xml:space="preserve"> REF _Ref274301012 \r \h </w:instrText>
      </w:r>
      <w:r>
        <w:fldChar w:fldCharType="separate"/>
      </w:r>
      <w:r w:rsidR="00374203">
        <w:t>8.7</w:t>
      </w:r>
      <w:r>
        <w:fldChar w:fldCharType="end"/>
      </w:r>
      <w:r>
        <w:t xml:space="preserve"> ovan och är ingen av bolagets aktier vid tidpunkten för åtgärden marknadsnoterade ska bestämmelserna i sådan punkt äga tillämpning</w:t>
      </w:r>
      <w:r w:rsidR="008E0540">
        <w:t xml:space="preserve">, </w:t>
      </w:r>
      <w:r>
        <w:t xml:space="preserve">dock att omräkningarna av teckningskursen och antalet aktier som varje teckningsoption ger rätt att teckna ska utföras efter bolagets eget val antingen (i) i enlighet med överenskommelse träffad mellan bolaget och optionsinnehavarna eller (ii) av </w:t>
      </w:r>
      <w:r w:rsidR="008E0540">
        <w:t xml:space="preserve">bolaget </w:t>
      </w:r>
      <w:r>
        <w:t xml:space="preserve">med tillämpning av så långt möjligt de principer som anges i den av punkterna </w:t>
      </w:r>
      <w:r>
        <w:fldChar w:fldCharType="begin"/>
      </w:r>
      <w:r>
        <w:instrText xml:space="preserve"> REF _Ref274300847 \r \h </w:instrText>
      </w:r>
      <w:r>
        <w:fldChar w:fldCharType="separate"/>
      </w:r>
      <w:r w:rsidR="00374203">
        <w:t>8.3</w:t>
      </w:r>
      <w:r>
        <w:fldChar w:fldCharType="end"/>
      </w:r>
      <w:r>
        <w:t xml:space="preserve">– </w:t>
      </w:r>
      <w:r>
        <w:fldChar w:fldCharType="begin"/>
      </w:r>
      <w:r>
        <w:instrText xml:space="preserve"> REF _Ref274301012 \r \h </w:instrText>
      </w:r>
      <w:r>
        <w:fldChar w:fldCharType="separate"/>
      </w:r>
      <w:r w:rsidR="00374203">
        <w:t>8.7</w:t>
      </w:r>
      <w:r>
        <w:fldChar w:fldCharType="end"/>
      </w:r>
      <w:r>
        <w:t xml:space="preserve"> ovan som är tillämplig och med utgångspunkt att värdet på teckningsoptionerna ska lämnas oförändrat.</w:t>
      </w:r>
    </w:p>
    <w:p w:rsidR="00825F30" w:rsidRDefault="00825F30" w:rsidP="00825F30">
      <w:pPr>
        <w:pStyle w:val="Nr-Rubrik2"/>
        <w:numPr>
          <w:ilvl w:val="1"/>
          <w:numId w:val="18"/>
        </w:numPr>
      </w:pPr>
      <w:r>
        <w:t>Alternativ omräkningsmetod</w:t>
      </w:r>
    </w:p>
    <w:p w:rsidR="00825F30" w:rsidRDefault="00825F30" w:rsidP="00825F30">
      <w:pPr>
        <w:pStyle w:val="Normaltindrag"/>
      </w:pPr>
      <w:r>
        <w:t xml:space="preserve">Genomför bolaget en åtgärd som avses i punkterna </w:t>
      </w:r>
      <w:r>
        <w:fldChar w:fldCharType="begin"/>
      </w:r>
      <w:r>
        <w:instrText xml:space="preserve"> REF _Ref274300867 \r \h </w:instrText>
      </w:r>
      <w:r>
        <w:fldChar w:fldCharType="separate"/>
      </w:r>
      <w:r w:rsidR="00374203">
        <w:t>8.1</w:t>
      </w:r>
      <w:r>
        <w:fldChar w:fldCharType="end"/>
      </w:r>
      <w:r>
        <w:t>–</w:t>
      </w:r>
      <w:r w:rsidR="00E178D6">
        <w:t xml:space="preserve"> </w:t>
      </w:r>
      <w:r>
        <w:fldChar w:fldCharType="begin"/>
      </w:r>
      <w:r>
        <w:instrText xml:space="preserve"> REF _Ref274301012 \r \h </w:instrText>
      </w:r>
      <w:r>
        <w:fldChar w:fldCharType="separate"/>
      </w:r>
      <w:r w:rsidR="00374203">
        <w:t>8.7</w:t>
      </w:r>
      <w:r>
        <w:fldChar w:fldCharType="end"/>
      </w:r>
      <w:r>
        <w:t xml:space="preserve"> ovan</w:t>
      </w:r>
      <w:r w:rsidR="004C1F97">
        <w:t xml:space="preserve"> </w:t>
      </w:r>
      <w:r>
        <w:t xml:space="preserve">och skulle enligt </w:t>
      </w:r>
      <w:r w:rsidR="008E0540">
        <w:t>bolagets</w:t>
      </w:r>
      <w:r>
        <w:t xml:space="preserve">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w:t>
      </w:r>
      <w:r w:rsidR="004C1F97">
        <w:t xml:space="preserve"> </w:t>
      </w:r>
      <w:r>
        <w:t>finner ändamålsenligt för att få ett skäligt resultat.</w:t>
      </w:r>
    </w:p>
    <w:p w:rsidR="00825F30" w:rsidRDefault="00825F30" w:rsidP="00825F30">
      <w:pPr>
        <w:pStyle w:val="Nr-Rubrik2"/>
        <w:numPr>
          <w:ilvl w:val="1"/>
          <w:numId w:val="18"/>
        </w:numPr>
      </w:pPr>
      <w:r>
        <w:t>Avrundning</w:t>
      </w:r>
    </w:p>
    <w:p w:rsidR="00825F30" w:rsidRDefault="00825F30" w:rsidP="00825F30">
      <w:pPr>
        <w:pStyle w:val="Normaltindrag"/>
      </w:pPr>
      <w:r>
        <w:t xml:space="preserve">Vid omräkning av teckningskursen och antalet aktier som varje teckningsoption ger rätt att teckna enligt denna punkt </w:t>
      </w:r>
      <w:r>
        <w:fldChar w:fldCharType="begin"/>
      </w:r>
      <w:r>
        <w:instrText xml:space="preserve"> REF _Ref274300756 \r \h </w:instrText>
      </w:r>
      <w:r>
        <w:fldChar w:fldCharType="separate"/>
      </w:r>
      <w:r w:rsidR="00374203">
        <w:t>8</w:t>
      </w:r>
      <w:r>
        <w:fldChar w:fldCharType="end"/>
      </w:r>
      <w:r>
        <w:t xml:space="preserve"> ska teckningskursen avrundas till helt </w:t>
      </w:r>
      <w:bookmarkStart w:id="14" w:name="Text13"/>
      <w:r w:rsidR="004C1F97">
        <w:t>öre</w:t>
      </w:r>
      <w:bookmarkEnd w:id="14"/>
      <w:r>
        <w:t xml:space="preserve">, varvid </w:t>
      </w:r>
      <w:bookmarkStart w:id="15" w:name="Text14"/>
      <w:r w:rsidR="004C1F97">
        <w:t>0,5</w:t>
      </w:r>
      <w:bookmarkEnd w:id="15"/>
      <w:r>
        <w:t xml:space="preserve"> öre ska avrundas uppåt, och antalet aktier avrundas uppåt till </w:t>
      </w:r>
      <w:bookmarkStart w:id="16" w:name="Text15"/>
      <w:r w:rsidR="004C1F97">
        <w:t xml:space="preserve">två </w:t>
      </w:r>
      <w:bookmarkEnd w:id="16"/>
      <w:r>
        <w:t>decimaler.</w:t>
      </w:r>
    </w:p>
    <w:p w:rsidR="00825F30" w:rsidRDefault="00825F30" w:rsidP="00825F30">
      <w:pPr>
        <w:pStyle w:val="Nr-Rubrik2"/>
        <w:numPr>
          <w:ilvl w:val="1"/>
          <w:numId w:val="18"/>
        </w:numPr>
      </w:pPr>
      <w:r>
        <w:t>Tvångsinlösen</w:t>
      </w:r>
    </w:p>
    <w:p w:rsidR="00825F30" w:rsidRDefault="00825F30" w:rsidP="00825F30">
      <w:pPr>
        <w:pStyle w:val="Normaltindrag"/>
      </w:pPr>
      <w:r>
        <w:t>Om aktie i bolaget blir föremål för tvångsinlösen gäller vad som anges i 22 kap. aktiebolagslagen beträffande rätten att teckna och få teckning verkställd.</w:t>
      </w:r>
    </w:p>
    <w:p w:rsidR="00825F30" w:rsidRDefault="00825F30" w:rsidP="00825F30">
      <w:pPr>
        <w:pStyle w:val="Nr-Rubrik2"/>
        <w:numPr>
          <w:ilvl w:val="1"/>
          <w:numId w:val="18"/>
        </w:numPr>
      </w:pPr>
      <w:r>
        <w:t>Fusion</w:t>
      </w:r>
    </w:p>
    <w:p w:rsidR="00825F30" w:rsidRDefault="00825F30" w:rsidP="00825F30">
      <w:pPr>
        <w:pStyle w:val="Normaltindrag"/>
      </w:pPr>
      <w:r>
        <w:t>Om (i) bolagsstämma beslutar att godkänna en fusionsplan varigenom bolaget ska uppgå i annat bolag eller (ii) styrelsen för bolaget beslutar att bolaget ska uppgå i moderbolag ska optionsinnehavarna erhålla minst motsvarande rättigheter i det övertagande bolaget som i bolaget (det överlåtande bolaget) om de enligt fusionsplanen inte har rätt att få sina teckningsoptioner inlösta.</w:t>
      </w:r>
    </w:p>
    <w:p w:rsidR="00825F30" w:rsidRDefault="00825F30" w:rsidP="00825F30">
      <w:pPr>
        <w:pStyle w:val="Nr-Rubrik2"/>
        <w:numPr>
          <w:ilvl w:val="1"/>
          <w:numId w:val="18"/>
        </w:numPr>
      </w:pPr>
      <w:bookmarkStart w:id="17" w:name="_Ref274301055"/>
      <w:r>
        <w:t>Delning</w:t>
      </w:r>
      <w:bookmarkEnd w:id="17"/>
    </w:p>
    <w:p w:rsidR="00825F30" w:rsidRDefault="00825F30" w:rsidP="00825F30">
      <w:pPr>
        <w:pStyle w:val="Normaltindrag"/>
      </w:pPr>
      <w:r>
        <w:t>Om bolagsstämma beslutar att godkänna en delningsplan varigenom bolaget ska delas genom att vissa eller samtliga av bolagets tillgångar och skulder övertas av ett eller flera andra bolag ska optionsinnehavarna erhålla minst motsvarande rättigheter i det övertagande bolaget eller, i förekommande fall, de övertagande bolagen som i bolaget (det överlåtande bolaget) om de enligt delningsplanen inte har rätt att få sina teckningsoptioner inlösta.</w:t>
      </w:r>
    </w:p>
    <w:p w:rsidR="00825F30" w:rsidRDefault="00825F30" w:rsidP="00825F30">
      <w:pPr>
        <w:pStyle w:val="Nr-Rubrik2"/>
        <w:numPr>
          <w:ilvl w:val="1"/>
          <w:numId w:val="18"/>
        </w:numPr>
      </w:pPr>
      <w:r>
        <w:t>Likvidation</w:t>
      </w:r>
    </w:p>
    <w:p w:rsidR="00825F30" w:rsidRDefault="00825F30" w:rsidP="00825F30">
      <w:pPr>
        <w:pStyle w:val="Normaltindrag"/>
      </w:pPr>
      <w: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rsidR="00825F30" w:rsidRDefault="00825F30" w:rsidP="00825F30">
      <w:pPr>
        <w:pStyle w:val="Normaltindrag"/>
      </w:pPr>
      <w:r>
        <w:t>Om likvidationen upphör får teckning återigen ske och verkställas i enlighet med dessa villkor.</w:t>
      </w:r>
    </w:p>
    <w:p w:rsidR="00825F30" w:rsidRDefault="00825F30" w:rsidP="00825F30">
      <w:pPr>
        <w:pStyle w:val="Normaltindrag"/>
      </w:pPr>
      <w: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rsidR="00825F30" w:rsidRDefault="00825F30" w:rsidP="00825F30">
      <w:pPr>
        <w:pStyle w:val="Normaltindrag"/>
      </w:pPr>
      <w:r>
        <w:t xml:space="preserve">Oavsett vad som i punkt </w:t>
      </w:r>
      <w:r>
        <w:fldChar w:fldCharType="begin"/>
      </w:r>
      <w:r>
        <w:instrText xml:space="preserve"> REF _Ref274300784 \r \h </w:instrText>
      </w:r>
      <w:r>
        <w:fldChar w:fldCharType="separate"/>
      </w:r>
      <w:r w:rsidR="00374203">
        <w:t>4</w:t>
      </w:r>
      <w:r>
        <w:fldChar w:fldCharType="end"/>
      </w:r>
      <w:r>
        <w:t xml:space="preserve">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rsidR="00825F30" w:rsidRDefault="00825F30" w:rsidP="00825F30">
      <w:pPr>
        <w:pStyle w:val="Nr-Rubrik2"/>
        <w:numPr>
          <w:ilvl w:val="1"/>
          <w:numId w:val="18"/>
        </w:numPr>
      </w:pPr>
      <w:r>
        <w:t>Konkurs</w:t>
      </w:r>
    </w:p>
    <w:p w:rsidR="00825F30" w:rsidRDefault="00825F30" w:rsidP="00825F30">
      <w:pPr>
        <w:pStyle w:val="Normaltindrag"/>
      </w:pPr>
      <w:r>
        <w:t>Om domstol försätter bolaget i konkurs får teckning därefter inte ske eller verkställas. Rätten att teckna och skyldigheten att verkställa teckning upphör i och med konkursbeslutet, oavsett grunden för beslutet och oavset</w:t>
      </w:r>
      <w:r w:rsidR="000D23F3">
        <w:t>t om det då vunnit laga kraft.</w:t>
      </w:r>
    </w:p>
    <w:p w:rsidR="00825F30" w:rsidRDefault="00825F30" w:rsidP="00825F30">
      <w:pPr>
        <w:pStyle w:val="Normaltindrag"/>
      </w:pPr>
      <w:r>
        <w:t>Om konkursbeslutet hävs får teckning återigen ske och verkställas i enlighet med dessa villkor.</w:t>
      </w:r>
    </w:p>
    <w:p w:rsidR="00825F30" w:rsidRDefault="00825F30" w:rsidP="00825F30">
      <w:pPr>
        <w:pStyle w:val="Nr-Rubrik1"/>
        <w:numPr>
          <w:ilvl w:val="0"/>
          <w:numId w:val="18"/>
        </w:numPr>
      </w:pPr>
      <w:r>
        <w:t>Särskilt åtagande av bolaget</w:t>
      </w:r>
    </w:p>
    <w:p w:rsidR="00825F30" w:rsidRDefault="00825F30" w:rsidP="00825F30">
      <w:pPr>
        <w:pStyle w:val="Normaltindrag"/>
      </w:pPr>
      <w:r>
        <w:t xml:space="preserve">Bolaget förbinder sig att inte vidta någon åtgärd som avses i punkt </w:t>
      </w:r>
      <w:r>
        <w:fldChar w:fldCharType="begin"/>
      </w:r>
      <w:r>
        <w:instrText xml:space="preserve"> REF _Ref274300756 \r \h </w:instrText>
      </w:r>
      <w:r>
        <w:fldChar w:fldCharType="separate"/>
      </w:r>
      <w:r w:rsidR="00374203">
        <w:t>8</w:t>
      </w:r>
      <w:r>
        <w:fldChar w:fldCharType="end"/>
      </w:r>
      <w:r>
        <w:t xml:space="preserve"> som medför en omräkning av teckningskursen till belopp understigande då utestående aktiers då gällande kvotvärde.</w:t>
      </w:r>
    </w:p>
    <w:p w:rsidR="00825F30" w:rsidRDefault="00825F30" w:rsidP="00825F30">
      <w:pPr>
        <w:pStyle w:val="Nr-Rubrik1"/>
        <w:numPr>
          <w:ilvl w:val="0"/>
          <w:numId w:val="18"/>
        </w:numPr>
      </w:pPr>
      <w:r>
        <w:t>Meddelanden</w:t>
      </w:r>
    </w:p>
    <w:p w:rsidR="00825F30" w:rsidRDefault="00825F30" w:rsidP="00825F30">
      <w:pPr>
        <w:pStyle w:val="Normaltindrag"/>
      </w:pPr>
      <w:r>
        <w:t>Meddelande rörande teckningsoptionerna ska ske genom e-post eller brev med posten till varje optionsinnehavare under dennes för bolaget senast kända e-postadress och postadress</w:t>
      </w:r>
      <w:r w:rsidR="004C1F97">
        <w:t>.</w:t>
      </w:r>
    </w:p>
    <w:p w:rsidR="00825F30" w:rsidRDefault="00825F30" w:rsidP="00825F30">
      <w:pPr>
        <w:pStyle w:val="Normaltindrag"/>
      </w:pPr>
      <w:r>
        <w:t>Optionsinnehavare är skyldig att anmäla namn och gällande e-postadress och postadress till bolaget.</w:t>
      </w:r>
    </w:p>
    <w:p w:rsidR="00825F30" w:rsidRDefault="00825F30" w:rsidP="00825F30">
      <w:pPr>
        <w:pStyle w:val="Nr-Rubrik1"/>
        <w:numPr>
          <w:ilvl w:val="0"/>
          <w:numId w:val="18"/>
        </w:numPr>
      </w:pPr>
      <w:r>
        <w:t>Ändring av villkoren</w:t>
      </w:r>
    </w:p>
    <w:p w:rsidR="00825F30" w:rsidRDefault="00825F30" w:rsidP="00825F30">
      <w:pPr>
        <w:pStyle w:val="Normaltindrag"/>
      </w:pPr>
      <w:r>
        <w:t xml:space="preserve">Bolaget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w:t>
      </w:r>
    </w:p>
    <w:p w:rsidR="00825F30" w:rsidRDefault="00825F30" w:rsidP="00825F30">
      <w:pPr>
        <w:pStyle w:val="Nr-Rubrik1"/>
        <w:numPr>
          <w:ilvl w:val="0"/>
          <w:numId w:val="18"/>
        </w:numPr>
      </w:pPr>
      <w:r>
        <w:t>Sekretess</w:t>
      </w:r>
    </w:p>
    <w:p w:rsidR="00825F30" w:rsidRDefault="00825F30" w:rsidP="00825F30">
      <w:pPr>
        <w:pStyle w:val="Normaltindrag"/>
      </w:pPr>
      <w:r>
        <w:t>Bolaget får inte obehörigen till tredje man lämna uppgift om optionsinnehavare.</w:t>
      </w:r>
    </w:p>
    <w:p w:rsidR="00825F30" w:rsidRDefault="00825F30" w:rsidP="00825F30">
      <w:pPr>
        <w:pStyle w:val="Nr-Rubrik1"/>
        <w:numPr>
          <w:ilvl w:val="0"/>
          <w:numId w:val="18"/>
        </w:numPr>
      </w:pPr>
      <w:r>
        <w:t>Ansvarsbegränsning</w:t>
      </w:r>
    </w:p>
    <w:p w:rsidR="00825F30" w:rsidRDefault="00825F30" w:rsidP="00825F30">
      <w:pPr>
        <w:pStyle w:val="Normaltindrag"/>
      </w:pPr>
      <w:r>
        <w:t>I fråga om de åtgärder som enligt dessa villkor ankommer på bolaget gäller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vidtar eller är föremål för sådan konfliktåtgärd.</w:t>
      </w:r>
    </w:p>
    <w:p w:rsidR="00825F30" w:rsidRDefault="00825F30" w:rsidP="00825F30">
      <w:pPr>
        <w:pStyle w:val="Normaltindrag"/>
      </w:pPr>
      <w:r>
        <w:t>Inte heller är bolaget skyldigt att i andra fall ersätta skada som uppkommer om bolaget varit normalt aktsamt. Härutöver gäller att bolaget inte i något fall är ansvarigt för indirekt skada.</w:t>
      </w:r>
    </w:p>
    <w:p w:rsidR="00825F30" w:rsidRDefault="00825F30" w:rsidP="00825F30">
      <w:pPr>
        <w:pStyle w:val="Normaltindrag"/>
      </w:pPr>
      <w:r>
        <w:t>Föreligger hinder för bolaget att vidta åtgärd på grund av omständighet som anges i första stycket får åtgärden uppskjutas till dess hindret har upphört.</w:t>
      </w:r>
    </w:p>
    <w:p w:rsidR="00825F30" w:rsidRDefault="00825F30" w:rsidP="00825F30">
      <w:pPr>
        <w:pStyle w:val="Nr-Rubrik1"/>
        <w:numPr>
          <w:ilvl w:val="0"/>
          <w:numId w:val="18"/>
        </w:numPr>
      </w:pPr>
      <w:r>
        <w:t>Tvistelösning och tillämplig lag</w:t>
      </w:r>
    </w:p>
    <w:p w:rsidR="00825F30" w:rsidRDefault="00825F30" w:rsidP="00825F30">
      <w:pPr>
        <w:pStyle w:val="Normaltindrag"/>
      </w:pPr>
      <w:r>
        <w:t xml:space="preserve">Tvist i anledning av dessa villkor eller därmed sammanhängande rättsfrågor ska avgöras av allmän domstol med </w:t>
      </w:r>
      <w:r w:rsidR="00087AF4">
        <w:t>Lunds</w:t>
      </w:r>
      <w:r>
        <w:t xml:space="preserve"> tingsrätt som första instans. </w:t>
      </w:r>
    </w:p>
    <w:p w:rsidR="00416871" w:rsidRPr="00534B4F" w:rsidRDefault="00825F30" w:rsidP="003200A1">
      <w:pPr>
        <w:pStyle w:val="Normaltindrag"/>
      </w:pPr>
      <w:r>
        <w:t>Dessa villkor och därmed sammanhängande rättsfrågor ska tolkas och tillämpas i en</w:t>
      </w:r>
      <w:r w:rsidR="003200A1">
        <w:t>lighet med svensk rätt.</w:t>
      </w:r>
      <w:bookmarkStart w:id="18" w:name="_GoBack"/>
      <w:bookmarkEnd w:id="18"/>
    </w:p>
    <w:sectPr w:rsidR="00416871" w:rsidRPr="00534B4F" w:rsidSect="00090412">
      <w:headerReference w:type="even" r:id="rId12"/>
      <w:headerReference w:type="default" r:id="rId13"/>
      <w:footerReference w:type="first" r:id="rId14"/>
      <w:pgSz w:w="11906" w:h="16838" w:code="9"/>
      <w:pgMar w:top="2155" w:right="1418" w:bottom="1134" w:left="1701" w:header="102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3F" w:rsidRDefault="00DE623F">
      <w:r>
        <w:separator/>
      </w:r>
    </w:p>
    <w:p w:rsidR="00DE623F" w:rsidRDefault="00DE623F"/>
  </w:endnote>
  <w:endnote w:type="continuationSeparator" w:id="0">
    <w:p w:rsidR="00DE623F" w:rsidRDefault="00DE623F">
      <w:r>
        <w:continuationSeparator/>
      </w:r>
    </w:p>
    <w:p w:rsidR="00DE623F" w:rsidRDefault="00DE6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Sidfot" w:displacedByCustomXml="next"/>
  <w:bookmarkEnd w:id="0" w:displacedByCustomXml="next"/>
  <w:sdt>
    <w:sdtPr>
      <w:alias w:val="DocID"/>
      <w:tag w:val="DocID"/>
      <w:id w:val="166610236"/>
      <w:placeholder>
        <w:docPart w:val="DefaultPlaceholder_1082065158"/>
      </w:placeholder>
      <w:text/>
    </w:sdtPr>
    <w:sdtEndPr/>
    <w:sdtContent>
      <w:p w:rsidR="00DE623F" w:rsidRDefault="00453051">
        <w:pPr>
          <w:pStyle w:val="Sidfot"/>
        </w:pPr>
        <w:r>
          <w:t>SW12576959/3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F" w:rsidRDefault="00DE62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3F" w:rsidRDefault="00DE623F" w:rsidP="00973E54">
      <w:pPr>
        <w:spacing w:before="60"/>
      </w:pPr>
      <w:r>
        <w:separator/>
      </w:r>
    </w:p>
    <w:p w:rsidR="00DE623F" w:rsidRDefault="00DE623F"/>
  </w:footnote>
  <w:footnote w:type="continuationSeparator" w:id="0">
    <w:p w:rsidR="00DE623F" w:rsidRDefault="00DE623F">
      <w:r>
        <w:continuationSeparator/>
      </w:r>
    </w:p>
    <w:p w:rsidR="00DE623F" w:rsidRDefault="00DE6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F" w:rsidRDefault="00DE623F"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E623F" w:rsidRDefault="00DE623F">
    <w:pPr>
      <w:pStyle w:val="Sidhuvud"/>
      <w:ind w:right="360"/>
    </w:pPr>
  </w:p>
  <w:p w:rsidR="00DE623F" w:rsidRDefault="00DE62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F" w:rsidRDefault="00DE623F" w:rsidP="00D21FD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5DCD">
      <w:rPr>
        <w:rStyle w:val="Sidnummer"/>
        <w:noProof/>
      </w:rPr>
      <w:t>2</w:t>
    </w:r>
    <w:r>
      <w:rPr>
        <w:rStyle w:val="Sidnummer"/>
      </w:rPr>
      <w:fldChar w:fldCharType="end"/>
    </w:r>
  </w:p>
  <w:p w:rsidR="00DE623F" w:rsidRDefault="00DE623F">
    <w:pPr>
      <w:pStyle w:val="Sidfo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F" w:rsidRDefault="00DE623F"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E623F" w:rsidRDefault="00DE623F">
    <w:pPr>
      <w:pStyle w:val="Sidhuvud"/>
      <w:ind w:right="360"/>
    </w:pPr>
  </w:p>
  <w:p w:rsidR="00DE623F" w:rsidRDefault="00DE62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F" w:rsidRDefault="00DE623F" w:rsidP="00D21FD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17EF1">
      <w:rPr>
        <w:rStyle w:val="Sidnummer"/>
        <w:noProof/>
      </w:rPr>
      <w:t>2</w:t>
    </w:r>
    <w:r>
      <w:rPr>
        <w:rStyle w:val="Sidnummer"/>
      </w:rPr>
      <w:fldChar w:fldCharType="end"/>
    </w:r>
  </w:p>
  <w:p w:rsidR="00DE623F" w:rsidRDefault="00DE623F">
    <w:pPr>
      <w:pStyle w:val="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608C37E"/>
    <w:lvl w:ilvl="0">
      <w:start w:val="1"/>
      <w:numFmt w:val="decimal"/>
      <w:lvlText w:val="%1."/>
      <w:lvlJc w:val="left"/>
      <w:pPr>
        <w:tabs>
          <w:tab w:val="num" w:pos="851"/>
        </w:tabs>
        <w:ind w:left="851" w:hanging="851"/>
      </w:pPr>
      <w:rPr>
        <w:rFonts w:hint="default"/>
      </w:rPr>
    </w:lvl>
  </w:abstractNum>
  <w:abstractNum w:abstractNumId="9">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0D6D4FE5"/>
    <w:multiLevelType w:val="multilevel"/>
    <w:tmpl w:val="E238FCCE"/>
    <w:lvl w:ilvl="0">
      <w:start w:val="1"/>
      <w:numFmt w:val="decimal"/>
      <w:pStyle w:val="Numreradlista"/>
      <w:lvlText w:val="%1."/>
      <w:lvlJc w:val="left"/>
      <w:pPr>
        <w:ind w:left="1702"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12">
    <w:nsid w:val="0F3C2DBE"/>
    <w:multiLevelType w:val="hybridMultilevel"/>
    <w:tmpl w:val="91F83A0C"/>
    <w:lvl w:ilvl="0" w:tplc="9F2856E8">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1676302"/>
    <w:multiLevelType w:val="hybridMultilevel"/>
    <w:tmpl w:val="0D1EB1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19B1D4A"/>
    <w:multiLevelType w:val="multilevel"/>
    <w:tmpl w:val="B994DCD8"/>
    <w:lvl w:ilvl="0">
      <w:start w:val="1"/>
      <w:numFmt w:val="lowerLetter"/>
      <w:lvlText w:val="(%1)"/>
      <w:lvlJc w:val="left"/>
      <w:pPr>
        <w:tabs>
          <w:tab w:val="num" w:pos="7659"/>
        </w:tabs>
        <w:ind w:left="8226" w:hanging="567"/>
      </w:pPr>
      <w:rPr>
        <w:rFonts w:hint="default"/>
      </w:rPr>
    </w:lvl>
    <w:lvl w:ilvl="1">
      <w:start w:val="1"/>
      <w:numFmt w:val="decimal"/>
      <w:lvlText w:val="%2."/>
      <w:lvlJc w:val="left"/>
      <w:pPr>
        <w:tabs>
          <w:tab w:val="num" w:pos="7659"/>
        </w:tabs>
        <w:ind w:left="8226" w:hanging="567"/>
      </w:pPr>
      <w:rPr>
        <w:rFonts w:hint="default"/>
      </w:rPr>
    </w:lvl>
    <w:lvl w:ilvl="2">
      <w:start w:val="1"/>
      <w:numFmt w:val="lowerRoman"/>
      <w:lvlText w:val="%3)"/>
      <w:lvlJc w:val="left"/>
      <w:pPr>
        <w:tabs>
          <w:tab w:val="num" w:pos="7659"/>
        </w:tabs>
        <w:ind w:left="8226" w:hanging="567"/>
      </w:pPr>
      <w:rPr>
        <w:rFonts w:hint="default"/>
      </w:rPr>
    </w:lvl>
    <w:lvl w:ilvl="3">
      <w:start w:val="1"/>
      <w:numFmt w:val="decimal"/>
      <w:lvlText w:val="(%4)"/>
      <w:lvlJc w:val="left"/>
      <w:pPr>
        <w:tabs>
          <w:tab w:val="num" w:pos="7659"/>
        </w:tabs>
        <w:ind w:left="8226" w:hanging="567"/>
      </w:pPr>
      <w:rPr>
        <w:rFonts w:hint="default"/>
      </w:rPr>
    </w:lvl>
    <w:lvl w:ilvl="4">
      <w:start w:val="1"/>
      <w:numFmt w:val="lowerLetter"/>
      <w:lvlText w:val="(%5)"/>
      <w:lvlJc w:val="left"/>
      <w:pPr>
        <w:tabs>
          <w:tab w:val="num" w:pos="7659"/>
        </w:tabs>
        <w:ind w:left="8226" w:hanging="567"/>
      </w:pPr>
      <w:rPr>
        <w:rFonts w:hint="default"/>
      </w:rPr>
    </w:lvl>
    <w:lvl w:ilvl="5">
      <w:start w:val="1"/>
      <w:numFmt w:val="lowerRoman"/>
      <w:lvlText w:val="(%6)"/>
      <w:lvlJc w:val="left"/>
      <w:pPr>
        <w:tabs>
          <w:tab w:val="num" w:pos="7659"/>
        </w:tabs>
        <w:ind w:left="8226" w:hanging="567"/>
      </w:pPr>
      <w:rPr>
        <w:rFonts w:hint="default"/>
      </w:rPr>
    </w:lvl>
    <w:lvl w:ilvl="6">
      <w:start w:val="1"/>
      <w:numFmt w:val="decimal"/>
      <w:lvlText w:val="%7."/>
      <w:lvlJc w:val="left"/>
      <w:pPr>
        <w:tabs>
          <w:tab w:val="num" w:pos="7659"/>
        </w:tabs>
        <w:ind w:left="8226" w:hanging="567"/>
      </w:pPr>
      <w:rPr>
        <w:rFonts w:hint="default"/>
      </w:rPr>
    </w:lvl>
    <w:lvl w:ilvl="7">
      <w:start w:val="1"/>
      <w:numFmt w:val="lowerLetter"/>
      <w:lvlText w:val="%8."/>
      <w:lvlJc w:val="left"/>
      <w:pPr>
        <w:tabs>
          <w:tab w:val="num" w:pos="7659"/>
        </w:tabs>
        <w:ind w:left="8226" w:hanging="567"/>
      </w:pPr>
      <w:rPr>
        <w:rFonts w:hint="default"/>
      </w:rPr>
    </w:lvl>
    <w:lvl w:ilvl="8">
      <w:start w:val="1"/>
      <w:numFmt w:val="lowerRoman"/>
      <w:lvlText w:val="%9."/>
      <w:lvlJc w:val="left"/>
      <w:pPr>
        <w:tabs>
          <w:tab w:val="num" w:pos="7659"/>
        </w:tabs>
        <w:ind w:left="8226" w:hanging="567"/>
      </w:pPr>
      <w:rPr>
        <w:rFonts w:hint="default"/>
      </w:rPr>
    </w:lvl>
  </w:abstractNum>
  <w:abstractNum w:abstractNumId="15">
    <w:nsid w:val="13956E07"/>
    <w:multiLevelType w:val="hybridMultilevel"/>
    <w:tmpl w:val="A8DA1E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4287322"/>
    <w:multiLevelType w:val="hybridMultilevel"/>
    <w:tmpl w:val="6F98A0FC"/>
    <w:lvl w:ilvl="0" w:tplc="041D0017">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7">
    <w:nsid w:val="1D7002DA"/>
    <w:multiLevelType w:val="hybridMultilevel"/>
    <w:tmpl w:val="0F5C7F7A"/>
    <w:lvl w:ilvl="0" w:tplc="041D0017">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8">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495C1558"/>
    <w:multiLevelType w:val="multilevel"/>
    <w:tmpl w:val="3FD89C1A"/>
    <w:numStyleLink w:val="NumRubrik"/>
  </w:abstractNum>
  <w:abstractNum w:abstractNumId="20">
    <w:nsid w:val="49E80801"/>
    <w:multiLevelType w:val="hybridMultilevel"/>
    <w:tmpl w:val="6F98A0FC"/>
    <w:lvl w:ilvl="0" w:tplc="041D0017">
      <w:start w:val="1"/>
      <w:numFmt w:val="lowerLetter"/>
      <w:lvlText w:val="%1)"/>
      <w:lvlJc w:val="left"/>
      <w:pPr>
        <w:ind w:left="1571" w:hanging="360"/>
      </w:p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21">
    <w:nsid w:val="691805F4"/>
    <w:multiLevelType w:val="multilevel"/>
    <w:tmpl w:val="3FD89C1A"/>
    <w:numStyleLink w:val="NumRubrik"/>
  </w:abstractNum>
  <w:abstractNum w:abstractNumId="22">
    <w:nsid w:val="6D3A1782"/>
    <w:multiLevelType w:val="multilevel"/>
    <w:tmpl w:val="3FD89C1A"/>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nsid w:val="6D4B20F0"/>
    <w:multiLevelType w:val="multilevel"/>
    <w:tmpl w:val="3FD89C1A"/>
    <w:numStyleLink w:val="NumRubrik"/>
  </w:abstractNum>
  <w:abstractNum w:abstractNumId="24">
    <w:nsid w:val="7211551B"/>
    <w:multiLevelType w:val="hybridMultilevel"/>
    <w:tmpl w:val="43768EB4"/>
    <w:lvl w:ilvl="0" w:tplc="041D0017">
      <w:start w:val="1"/>
      <w:numFmt w:val="lowerLetter"/>
      <w:lvlText w:val="%1)"/>
      <w:lvlJc w:val="left"/>
      <w:pPr>
        <w:ind w:left="1995" w:hanging="360"/>
      </w:pPr>
    </w:lvl>
    <w:lvl w:ilvl="1" w:tplc="041D0019">
      <w:start w:val="1"/>
      <w:numFmt w:val="lowerLetter"/>
      <w:lvlText w:val="%2."/>
      <w:lvlJc w:val="left"/>
      <w:pPr>
        <w:ind w:left="2715" w:hanging="360"/>
      </w:pPr>
    </w:lvl>
    <w:lvl w:ilvl="2" w:tplc="041D001B">
      <w:start w:val="1"/>
      <w:numFmt w:val="lowerRoman"/>
      <w:lvlText w:val="%3."/>
      <w:lvlJc w:val="right"/>
      <w:pPr>
        <w:ind w:left="3435" w:hanging="180"/>
      </w:pPr>
    </w:lvl>
    <w:lvl w:ilvl="3" w:tplc="041D000F">
      <w:start w:val="1"/>
      <w:numFmt w:val="decimal"/>
      <w:lvlText w:val="%4."/>
      <w:lvlJc w:val="left"/>
      <w:pPr>
        <w:ind w:left="4155" w:hanging="360"/>
      </w:pPr>
    </w:lvl>
    <w:lvl w:ilvl="4" w:tplc="041D0019">
      <w:start w:val="1"/>
      <w:numFmt w:val="lowerLetter"/>
      <w:lvlText w:val="%5."/>
      <w:lvlJc w:val="left"/>
      <w:pPr>
        <w:ind w:left="4875" w:hanging="360"/>
      </w:pPr>
    </w:lvl>
    <w:lvl w:ilvl="5" w:tplc="041D001B" w:tentative="1">
      <w:start w:val="1"/>
      <w:numFmt w:val="lowerRoman"/>
      <w:lvlText w:val="%6."/>
      <w:lvlJc w:val="right"/>
      <w:pPr>
        <w:ind w:left="5595" w:hanging="180"/>
      </w:pPr>
    </w:lvl>
    <w:lvl w:ilvl="6" w:tplc="041D000F" w:tentative="1">
      <w:start w:val="1"/>
      <w:numFmt w:val="decimal"/>
      <w:lvlText w:val="%7."/>
      <w:lvlJc w:val="left"/>
      <w:pPr>
        <w:ind w:left="6315" w:hanging="360"/>
      </w:pPr>
    </w:lvl>
    <w:lvl w:ilvl="7" w:tplc="041D0019" w:tentative="1">
      <w:start w:val="1"/>
      <w:numFmt w:val="lowerLetter"/>
      <w:lvlText w:val="%8."/>
      <w:lvlJc w:val="left"/>
      <w:pPr>
        <w:ind w:left="7035" w:hanging="360"/>
      </w:pPr>
    </w:lvl>
    <w:lvl w:ilvl="8" w:tplc="041D001B" w:tentative="1">
      <w:start w:val="1"/>
      <w:numFmt w:val="lowerRoman"/>
      <w:lvlText w:val="%9."/>
      <w:lvlJc w:val="right"/>
      <w:pPr>
        <w:ind w:left="7755" w:hanging="180"/>
      </w:pPr>
    </w:lvl>
  </w:abstractNum>
  <w:abstractNum w:abstractNumId="25">
    <w:nsid w:val="746D3987"/>
    <w:multiLevelType w:val="multilevel"/>
    <w:tmpl w:val="B3847200"/>
    <w:lvl w:ilvl="0">
      <w:start w:val="1"/>
      <w:numFmt w:val="lowerLetter"/>
      <w:pStyle w:val="i-lista"/>
      <w:lvlText w:val="%1)"/>
      <w:lvlJc w:val="left"/>
      <w:pPr>
        <w:tabs>
          <w:tab w:val="num" w:pos="1844"/>
        </w:tabs>
        <w:ind w:left="2411" w:hanging="567"/>
      </w:pPr>
      <w:rPr>
        <w:rFonts w:hint="default"/>
      </w:rPr>
    </w:lvl>
    <w:lvl w:ilvl="1">
      <w:start w:val="1"/>
      <w:numFmt w:val="lowerLetter"/>
      <w:lvlText w:val="%2)"/>
      <w:lvlJc w:val="left"/>
      <w:pPr>
        <w:tabs>
          <w:tab w:val="num" w:pos="1844"/>
        </w:tabs>
        <w:ind w:left="2411" w:hanging="567"/>
      </w:pPr>
      <w:rPr>
        <w:rFonts w:hint="default"/>
      </w:rPr>
    </w:lvl>
    <w:lvl w:ilvl="2">
      <w:start w:val="1"/>
      <w:numFmt w:val="lowerRoman"/>
      <w:lvlText w:val="%3)"/>
      <w:lvlJc w:val="left"/>
      <w:pPr>
        <w:tabs>
          <w:tab w:val="num" w:pos="1844"/>
        </w:tabs>
        <w:ind w:left="2411" w:hanging="567"/>
      </w:pPr>
      <w:rPr>
        <w:rFonts w:hint="default"/>
      </w:rPr>
    </w:lvl>
    <w:lvl w:ilvl="3">
      <w:start w:val="1"/>
      <w:numFmt w:val="decimal"/>
      <w:lvlText w:val="(%4)"/>
      <w:lvlJc w:val="left"/>
      <w:pPr>
        <w:tabs>
          <w:tab w:val="num" w:pos="1844"/>
        </w:tabs>
        <w:ind w:left="2411" w:hanging="567"/>
      </w:pPr>
      <w:rPr>
        <w:rFonts w:hint="default"/>
      </w:rPr>
    </w:lvl>
    <w:lvl w:ilvl="4">
      <w:start w:val="1"/>
      <w:numFmt w:val="lowerLetter"/>
      <w:lvlText w:val="(%5)"/>
      <w:lvlJc w:val="left"/>
      <w:pPr>
        <w:tabs>
          <w:tab w:val="num" w:pos="1844"/>
        </w:tabs>
        <w:ind w:left="2411" w:hanging="567"/>
      </w:pPr>
      <w:rPr>
        <w:rFonts w:hint="default"/>
      </w:rPr>
    </w:lvl>
    <w:lvl w:ilvl="5">
      <w:start w:val="1"/>
      <w:numFmt w:val="lowerRoman"/>
      <w:lvlText w:val="(%6)"/>
      <w:lvlJc w:val="left"/>
      <w:pPr>
        <w:tabs>
          <w:tab w:val="num" w:pos="1844"/>
        </w:tabs>
        <w:ind w:left="2411" w:hanging="567"/>
      </w:pPr>
      <w:rPr>
        <w:rFonts w:hint="default"/>
      </w:rPr>
    </w:lvl>
    <w:lvl w:ilvl="6">
      <w:start w:val="1"/>
      <w:numFmt w:val="decimal"/>
      <w:lvlText w:val="%7."/>
      <w:lvlJc w:val="left"/>
      <w:pPr>
        <w:tabs>
          <w:tab w:val="num" w:pos="1844"/>
        </w:tabs>
        <w:ind w:left="2411" w:hanging="567"/>
      </w:pPr>
      <w:rPr>
        <w:rFonts w:hint="default"/>
      </w:rPr>
    </w:lvl>
    <w:lvl w:ilvl="7">
      <w:start w:val="1"/>
      <w:numFmt w:val="lowerLetter"/>
      <w:lvlText w:val="%8."/>
      <w:lvlJc w:val="left"/>
      <w:pPr>
        <w:tabs>
          <w:tab w:val="num" w:pos="1844"/>
        </w:tabs>
        <w:ind w:left="2411" w:hanging="567"/>
      </w:pPr>
      <w:rPr>
        <w:rFonts w:hint="default"/>
      </w:rPr>
    </w:lvl>
    <w:lvl w:ilvl="8">
      <w:start w:val="1"/>
      <w:numFmt w:val="lowerRoman"/>
      <w:lvlText w:val="%9."/>
      <w:lvlJc w:val="left"/>
      <w:pPr>
        <w:tabs>
          <w:tab w:val="num" w:pos="1844"/>
        </w:tabs>
        <w:ind w:left="2411" w:hanging="567"/>
      </w:pPr>
      <w:rPr>
        <w:rFonts w:hint="default"/>
      </w:rPr>
    </w:lvl>
  </w:abstractNum>
  <w:abstractNum w:abstractNumId="26">
    <w:nsid w:val="7CA7589E"/>
    <w:multiLevelType w:val="hybridMultilevel"/>
    <w:tmpl w:val="8DE64BD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2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9"/>
  </w:num>
  <w:num w:numId="14">
    <w:abstractNumId w:val="21"/>
  </w:num>
  <w:num w:numId="15">
    <w:abstractNumId w:val="14"/>
  </w:num>
  <w:num w:numId="16">
    <w:abstractNumId w:val="25"/>
  </w:num>
  <w:num w:numId="17">
    <w:abstractNumId w:val="11"/>
  </w:num>
  <w:num w:numId="18">
    <w:abstractNumId w:val="18"/>
  </w:num>
  <w:num w:numId="19">
    <w:abstractNumId w:val="18"/>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7"/>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5"/>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27"/>
    <w:rsid w:val="00004E94"/>
    <w:rsid w:val="0000541D"/>
    <w:rsid w:val="00007978"/>
    <w:rsid w:val="0001670B"/>
    <w:rsid w:val="0001796B"/>
    <w:rsid w:val="000236CE"/>
    <w:rsid w:val="00030F2C"/>
    <w:rsid w:val="00040E79"/>
    <w:rsid w:val="000442C9"/>
    <w:rsid w:val="0004614E"/>
    <w:rsid w:val="000521F8"/>
    <w:rsid w:val="00054ACE"/>
    <w:rsid w:val="00055443"/>
    <w:rsid w:val="000613BA"/>
    <w:rsid w:val="00063419"/>
    <w:rsid w:val="00063AF5"/>
    <w:rsid w:val="000728C1"/>
    <w:rsid w:val="00074CBD"/>
    <w:rsid w:val="000809EA"/>
    <w:rsid w:val="00081FF2"/>
    <w:rsid w:val="0008709F"/>
    <w:rsid w:val="00087AF4"/>
    <w:rsid w:val="00090412"/>
    <w:rsid w:val="00090589"/>
    <w:rsid w:val="00091CC0"/>
    <w:rsid w:val="000957EB"/>
    <w:rsid w:val="000967AD"/>
    <w:rsid w:val="000B23E1"/>
    <w:rsid w:val="000B57FD"/>
    <w:rsid w:val="000B5E26"/>
    <w:rsid w:val="000C20CD"/>
    <w:rsid w:val="000C7F49"/>
    <w:rsid w:val="000D00CE"/>
    <w:rsid w:val="000D084A"/>
    <w:rsid w:val="000D1793"/>
    <w:rsid w:val="000D23F3"/>
    <w:rsid w:val="000D2F41"/>
    <w:rsid w:val="000E743D"/>
    <w:rsid w:val="000F2743"/>
    <w:rsid w:val="000F3F8E"/>
    <w:rsid w:val="000F5B88"/>
    <w:rsid w:val="00101D68"/>
    <w:rsid w:val="00101FB6"/>
    <w:rsid w:val="00103FD4"/>
    <w:rsid w:val="00117125"/>
    <w:rsid w:val="00120FD2"/>
    <w:rsid w:val="00123E5E"/>
    <w:rsid w:val="00131E9C"/>
    <w:rsid w:val="001359BB"/>
    <w:rsid w:val="0014428D"/>
    <w:rsid w:val="0015047C"/>
    <w:rsid w:val="00151B16"/>
    <w:rsid w:val="00153874"/>
    <w:rsid w:val="001606B4"/>
    <w:rsid w:val="00162374"/>
    <w:rsid w:val="00162C14"/>
    <w:rsid w:val="0016480A"/>
    <w:rsid w:val="00166AB9"/>
    <w:rsid w:val="001724D5"/>
    <w:rsid w:val="00176B32"/>
    <w:rsid w:val="00181675"/>
    <w:rsid w:val="00182975"/>
    <w:rsid w:val="00185772"/>
    <w:rsid w:val="001868B0"/>
    <w:rsid w:val="00193193"/>
    <w:rsid w:val="00195267"/>
    <w:rsid w:val="00195CBF"/>
    <w:rsid w:val="00196F2F"/>
    <w:rsid w:val="001A5EE4"/>
    <w:rsid w:val="001B009B"/>
    <w:rsid w:val="001B506A"/>
    <w:rsid w:val="001C26F2"/>
    <w:rsid w:val="001C3001"/>
    <w:rsid w:val="001C4E97"/>
    <w:rsid w:val="001C56A6"/>
    <w:rsid w:val="001C5BA2"/>
    <w:rsid w:val="001C6CE4"/>
    <w:rsid w:val="001C7E8B"/>
    <w:rsid w:val="001D17FC"/>
    <w:rsid w:val="001D6100"/>
    <w:rsid w:val="001D6368"/>
    <w:rsid w:val="001D6989"/>
    <w:rsid w:val="001D7A9F"/>
    <w:rsid w:val="001E4A89"/>
    <w:rsid w:val="001E5CAD"/>
    <w:rsid w:val="001E5DF6"/>
    <w:rsid w:val="001E7600"/>
    <w:rsid w:val="00202FB4"/>
    <w:rsid w:val="002066D2"/>
    <w:rsid w:val="00206BF1"/>
    <w:rsid w:val="0020738B"/>
    <w:rsid w:val="00210174"/>
    <w:rsid w:val="00212C51"/>
    <w:rsid w:val="00220B15"/>
    <w:rsid w:val="00220E85"/>
    <w:rsid w:val="002223D9"/>
    <w:rsid w:val="0022448B"/>
    <w:rsid w:val="00226993"/>
    <w:rsid w:val="00233D26"/>
    <w:rsid w:val="00234FFE"/>
    <w:rsid w:val="00237F0E"/>
    <w:rsid w:val="002405E4"/>
    <w:rsid w:val="002419BD"/>
    <w:rsid w:val="00244211"/>
    <w:rsid w:val="00245E3C"/>
    <w:rsid w:val="00246A9B"/>
    <w:rsid w:val="00247341"/>
    <w:rsid w:val="00247ABA"/>
    <w:rsid w:val="002506FF"/>
    <w:rsid w:val="002531C6"/>
    <w:rsid w:val="0025346F"/>
    <w:rsid w:val="002541A8"/>
    <w:rsid w:val="00255B21"/>
    <w:rsid w:val="00255BC8"/>
    <w:rsid w:val="0025633C"/>
    <w:rsid w:val="0025762C"/>
    <w:rsid w:val="0026139F"/>
    <w:rsid w:val="00263702"/>
    <w:rsid w:val="00274A88"/>
    <w:rsid w:val="00276A45"/>
    <w:rsid w:val="002801CE"/>
    <w:rsid w:val="00280233"/>
    <w:rsid w:val="00284749"/>
    <w:rsid w:val="0028651E"/>
    <w:rsid w:val="00291366"/>
    <w:rsid w:val="00294AFA"/>
    <w:rsid w:val="002951F4"/>
    <w:rsid w:val="00297203"/>
    <w:rsid w:val="002976AD"/>
    <w:rsid w:val="002A3EF2"/>
    <w:rsid w:val="002A4691"/>
    <w:rsid w:val="002A5B0A"/>
    <w:rsid w:val="002B20E2"/>
    <w:rsid w:val="002B7537"/>
    <w:rsid w:val="002C358C"/>
    <w:rsid w:val="002C6E91"/>
    <w:rsid w:val="002D5A57"/>
    <w:rsid w:val="002D6B61"/>
    <w:rsid w:val="002E09F3"/>
    <w:rsid w:val="002E0B8D"/>
    <w:rsid w:val="002E64CF"/>
    <w:rsid w:val="002E74CF"/>
    <w:rsid w:val="002F28E4"/>
    <w:rsid w:val="002F4408"/>
    <w:rsid w:val="002F5000"/>
    <w:rsid w:val="003043F2"/>
    <w:rsid w:val="00305C9F"/>
    <w:rsid w:val="00306915"/>
    <w:rsid w:val="00311888"/>
    <w:rsid w:val="00313E60"/>
    <w:rsid w:val="00314507"/>
    <w:rsid w:val="00314CAB"/>
    <w:rsid w:val="00317EF1"/>
    <w:rsid w:val="003200A1"/>
    <w:rsid w:val="0032411F"/>
    <w:rsid w:val="003275DE"/>
    <w:rsid w:val="00332171"/>
    <w:rsid w:val="00333631"/>
    <w:rsid w:val="0034060A"/>
    <w:rsid w:val="003421D4"/>
    <w:rsid w:val="00342A57"/>
    <w:rsid w:val="00351BD3"/>
    <w:rsid w:val="003521F1"/>
    <w:rsid w:val="0036077C"/>
    <w:rsid w:val="00360ED3"/>
    <w:rsid w:val="00361E6E"/>
    <w:rsid w:val="003632BC"/>
    <w:rsid w:val="00365F23"/>
    <w:rsid w:val="003713DB"/>
    <w:rsid w:val="00372777"/>
    <w:rsid w:val="00374203"/>
    <w:rsid w:val="00385E4E"/>
    <w:rsid w:val="00394697"/>
    <w:rsid w:val="003A20F1"/>
    <w:rsid w:val="003A53F3"/>
    <w:rsid w:val="003A59B9"/>
    <w:rsid w:val="003A7A58"/>
    <w:rsid w:val="003B0B6B"/>
    <w:rsid w:val="003B3CF5"/>
    <w:rsid w:val="003B3E13"/>
    <w:rsid w:val="003C33C2"/>
    <w:rsid w:val="003C5CBF"/>
    <w:rsid w:val="003C651E"/>
    <w:rsid w:val="003C6835"/>
    <w:rsid w:val="003D3379"/>
    <w:rsid w:val="003D632F"/>
    <w:rsid w:val="003E1C9F"/>
    <w:rsid w:val="003E25EC"/>
    <w:rsid w:val="003F0590"/>
    <w:rsid w:val="003F3254"/>
    <w:rsid w:val="003F73AD"/>
    <w:rsid w:val="00401612"/>
    <w:rsid w:val="0040247E"/>
    <w:rsid w:val="004100BE"/>
    <w:rsid w:val="00413A7C"/>
    <w:rsid w:val="004145E6"/>
    <w:rsid w:val="00416172"/>
    <w:rsid w:val="00416871"/>
    <w:rsid w:val="00416A44"/>
    <w:rsid w:val="004260C9"/>
    <w:rsid w:val="00426C90"/>
    <w:rsid w:val="0043786D"/>
    <w:rsid w:val="00440801"/>
    <w:rsid w:val="0044200E"/>
    <w:rsid w:val="004443A4"/>
    <w:rsid w:val="004451CC"/>
    <w:rsid w:val="00451807"/>
    <w:rsid w:val="00453051"/>
    <w:rsid w:val="00454978"/>
    <w:rsid w:val="004572D5"/>
    <w:rsid w:val="00460CE7"/>
    <w:rsid w:val="004667A7"/>
    <w:rsid w:val="00470D11"/>
    <w:rsid w:val="00476183"/>
    <w:rsid w:val="0048231C"/>
    <w:rsid w:val="00482894"/>
    <w:rsid w:val="00490493"/>
    <w:rsid w:val="0049781A"/>
    <w:rsid w:val="00497978"/>
    <w:rsid w:val="00497BE6"/>
    <w:rsid w:val="004A2B1E"/>
    <w:rsid w:val="004A3FF1"/>
    <w:rsid w:val="004A66BC"/>
    <w:rsid w:val="004B04B5"/>
    <w:rsid w:val="004B186D"/>
    <w:rsid w:val="004B3033"/>
    <w:rsid w:val="004B4800"/>
    <w:rsid w:val="004B7F76"/>
    <w:rsid w:val="004C088B"/>
    <w:rsid w:val="004C1F97"/>
    <w:rsid w:val="004C5F6E"/>
    <w:rsid w:val="004C6EB6"/>
    <w:rsid w:val="004D057F"/>
    <w:rsid w:val="004D1B66"/>
    <w:rsid w:val="004D36CD"/>
    <w:rsid w:val="004D79EE"/>
    <w:rsid w:val="004D7FF7"/>
    <w:rsid w:val="004E16B9"/>
    <w:rsid w:val="004E72FA"/>
    <w:rsid w:val="004E7444"/>
    <w:rsid w:val="004F2403"/>
    <w:rsid w:val="004F362C"/>
    <w:rsid w:val="004F788F"/>
    <w:rsid w:val="0050152B"/>
    <w:rsid w:val="0050332B"/>
    <w:rsid w:val="00510B5D"/>
    <w:rsid w:val="00513348"/>
    <w:rsid w:val="005143D3"/>
    <w:rsid w:val="0051519D"/>
    <w:rsid w:val="0051699F"/>
    <w:rsid w:val="00517853"/>
    <w:rsid w:val="00520DD6"/>
    <w:rsid w:val="005225AB"/>
    <w:rsid w:val="0052458B"/>
    <w:rsid w:val="005247A3"/>
    <w:rsid w:val="00531D60"/>
    <w:rsid w:val="00532DE0"/>
    <w:rsid w:val="00534B4F"/>
    <w:rsid w:val="00535BC0"/>
    <w:rsid w:val="00536773"/>
    <w:rsid w:val="00541831"/>
    <w:rsid w:val="00543196"/>
    <w:rsid w:val="005462BB"/>
    <w:rsid w:val="00546665"/>
    <w:rsid w:val="0055066A"/>
    <w:rsid w:val="00552D0D"/>
    <w:rsid w:val="005574D9"/>
    <w:rsid w:val="00563DC3"/>
    <w:rsid w:val="00566028"/>
    <w:rsid w:val="00566E83"/>
    <w:rsid w:val="00572780"/>
    <w:rsid w:val="00573B49"/>
    <w:rsid w:val="00576503"/>
    <w:rsid w:val="00577991"/>
    <w:rsid w:val="005823DD"/>
    <w:rsid w:val="00587986"/>
    <w:rsid w:val="00592605"/>
    <w:rsid w:val="0059301B"/>
    <w:rsid w:val="00595048"/>
    <w:rsid w:val="0059651D"/>
    <w:rsid w:val="005A0AB1"/>
    <w:rsid w:val="005B2573"/>
    <w:rsid w:val="005B7FC4"/>
    <w:rsid w:val="005C0E0B"/>
    <w:rsid w:val="005C2326"/>
    <w:rsid w:val="005C50B3"/>
    <w:rsid w:val="005C7D2B"/>
    <w:rsid w:val="005D04AD"/>
    <w:rsid w:val="005D0910"/>
    <w:rsid w:val="005D3373"/>
    <w:rsid w:val="005D37BB"/>
    <w:rsid w:val="005D48F7"/>
    <w:rsid w:val="005E6DE0"/>
    <w:rsid w:val="005E7130"/>
    <w:rsid w:val="005E7EA3"/>
    <w:rsid w:val="005F01CF"/>
    <w:rsid w:val="005F14BB"/>
    <w:rsid w:val="005F4BCC"/>
    <w:rsid w:val="005F6BF9"/>
    <w:rsid w:val="005F6FCA"/>
    <w:rsid w:val="005F7952"/>
    <w:rsid w:val="00602353"/>
    <w:rsid w:val="00602AA8"/>
    <w:rsid w:val="00603A57"/>
    <w:rsid w:val="0060627A"/>
    <w:rsid w:val="0060712A"/>
    <w:rsid w:val="0060740E"/>
    <w:rsid w:val="00607B91"/>
    <w:rsid w:val="00615E1E"/>
    <w:rsid w:val="00616AF5"/>
    <w:rsid w:val="00617F07"/>
    <w:rsid w:val="00617F37"/>
    <w:rsid w:val="00624DCC"/>
    <w:rsid w:val="006261FC"/>
    <w:rsid w:val="00630DD1"/>
    <w:rsid w:val="00631211"/>
    <w:rsid w:val="006313A9"/>
    <w:rsid w:val="0063550F"/>
    <w:rsid w:val="006407FF"/>
    <w:rsid w:val="006416B2"/>
    <w:rsid w:val="0064381A"/>
    <w:rsid w:val="0064403A"/>
    <w:rsid w:val="00644CA5"/>
    <w:rsid w:val="00645933"/>
    <w:rsid w:val="00646EDF"/>
    <w:rsid w:val="00647F80"/>
    <w:rsid w:val="00661838"/>
    <w:rsid w:val="00664EAA"/>
    <w:rsid w:val="006676DD"/>
    <w:rsid w:val="00681171"/>
    <w:rsid w:val="00681B04"/>
    <w:rsid w:val="00682985"/>
    <w:rsid w:val="0068388E"/>
    <w:rsid w:val="00686C43"/>
    <w:rsid w:val="00695BC1"/>
    <w:rsid w:val="006967C2"/>
    <w:rsid w:val="006A78DF"/>
    <w:rsid w:val="006B08A5"/>
    <w:rsid w:val="006B141A"/>
    <w:rsid w:val="006B2C3B"/>
    <w:rsid w:val="006B679F"/>
    <w:rsid w:val="006B6878"/>
    <w:rsid w:val="006C1E3F"/>
    <w:rsid w:val="006C2FF5"/>
    <w:rsid w:val="006C6970"/>
    <w:rsid w:val="006D161E"/>
    <w:rsid w:val="006E2B21"/>
    <w:rsid w:val="006E5E64"/>
    <w:rsid w:val="006E62CD"/>
    <w:rsid w:val="006F1370"/>
    <w:rsid w:val="006F18DB"/>
    <w:rsid w:val="006F3C0C"/>
    <w:rsid w:val="006F53F9"/>
    <w:rsid w:val="00703660"/>
    <w:rsid w:val="00704D7C"/>
    <w:rsid w:val="00705292"/>
    <w:rsid w:val="007103A4"/>
    <w:rsid w:val="00712754"/>
    <w:rsid w:val="00714246"/>
    <w:rsid w:val="00715FB1"/>
    <w:rsid w:val="007168F1"/>
    <w:rsid w:val="00721E4E"/>
    <w:rsid w:val="00724065"/>
    <w:rsid w:val="0072453C"/>
    <w:rsid w:val="00732CD1"/>
    <w:rsid w:val="00734C02"/>
    <w:rsid w:val="0073511D"/>
    <w:rsid w:val="00735FE5"/>
    <w:rsid w:val="00743230"/>
    <w:rsid w:val="007459D0"/>
    <w:rsid w:val="00747627"/>
    <w:rsid w:val="00747A05"/>
    <w:rsid w:val="007507EE"/>
    <w:rsid w:val="00751A75"/>
    <w:rsid w:val="007537A8"/>
    <w:rsid w:val="0075411D"/>
    <w:rsid w:val="00760CC7"/>
    <w:rsid w:val="00765B95"/>
    <w:rsid w:val="007706D3"/>
    <w:rsid w:val="007726DD"/>
    <w:rsid w:val="00772A24"/>
    <w:rsid w:val="00772C9D"/>
    <w:rsid w:val="00774BAA"/>
    <w:rsid w:val="00777A50"/>
    <w:rsid w:val="00777EAC"/>
    <w:rsid w:val="00783B2A"/>
    <w:rsid w:val="0078457A"/>
    <w:rsid w:val="00785309"/>
    <w:rsid w:val="00785A21"/>
    <w:rsid w:val="00786C03"/>
    <w:rsid w:val="00790E6A"/>
    <w:rsid w:val="00791546"/>
    <w:rsid w:val="00791EAC"/>
    <w:rsid w:val="007A28AF"/>
    <w:rsid w:val="007A619D"/>
    <w:rsid w:val="007A6850"/>
    <w:rsid w:val="007B0398"/>
    <w:rsid w:val="007B36AF"/>
    <w:rsid w:val="007B3828"/>
    <w:rsid w:val="007C06C1"/>
    <w:rsid w:val="007C0EC1"/>
    <w:rsid w:val="007C3451"/>
    <w:rsid w:val="007C3727"/>
    <w:rsid w:val="007D5868"/>
    <w:rsid w:val="007E08AA"/>
    <w:rsid w:val="007E112F"/>
    <w:rsid w:val="007E2068"/>
    <w:rsid w:val="007E48CD"/>
    <w:rsid w:val="007E4E36"/>
    <w:rsid w:val="007E5AA2"/>
    <w:rsid w:val="007E70E9"/>
    <w:rsid w:val="007F42D3"/>
    <w:rsid w:val="007F445F"/>
    <w:rsid w:val="007F5193"/>
    <w:rsid w:val="00801E66"/>
    <w:rsid w:val="008134C3"/>
    <w:rsid w:val="0081535C"/>
    <w:rsid w:val="00815ABE"/>
    <w:rsid w:val="00816B5B"/>
    <w:rsid w:val="0082283C"/>
    <w:rsid w:val="00822CBD"/>
    <w:rsid w:val="008235CC"/>
    <w:rsid w:val="008241F5"/>
    <w:rsid w:val="00825F30"/>
    <w:rsid w:val="008269A9"/>
    <w:rsid w:val="00830424"/>
    <w:rsid w:val="008310DE"/>
    <w:rsid w:val="00831636"/>
    <w:rsid w:val="00836925"/>
    <w:rsid w:val="00837252"/>
    <w:rsid w:val="008412CF"/>
    <w:rsid w:val="00841D14"/>
    <w:rsid w:val="008457D8"/>
    <w:rsid w:val="00847B22"/>
    <w:rsid w:val="00852B18"/>
    <w:rsid w:val="008605D1"/>
    <w:rsid w:val="00860E2D"/>
    <w:rsid w:val="00861985"/>
    <w:rsid w:val="008622F7"/>
    <w:rsid w:val="00862C29"/>
    <w:rsid w:val="00862D22"/>
    <w:rsid w:val="0086449D"/>
    <w:rsid w:val="0086696E"/>
    <w:rsid w:val="008672A5"/>
    <w:rsid w:val="0087676E"/>
    <w:rsid w:val="008813E8"/>
    <w:rsid w:val="008832A3"/>
    <w:rsid w:val="008864A2"/>
    <w:rsid w:val="0088783B"/>
    <w:rsid w:val="00892AE5"/>
    <w:rsid w:val="00892CCD"/>
    <w:rsid w:val="00893E46"/>
    <w:rsid w:val="00896096"/>
    <w:rsid w:val="008A4400"/>
    <w:rsid w:val="008A7476"/>
    <w:rsid w:val="008B1E50"/>
    <w:rsid w:val="008B491E"/>
    <w:rsid w:val="008B6089"/>
    <w:rsid w:val="008B72BF"/>
    <w:rsid w:val="008C0C1E"/>
    <w:rsid w:val="008C14F6"/>
    <w:rsid w:val="008C38C9"/>
    <w:rsid w:val="008C420E"/>
    <w:rsid w:val="008D0D5F"/>
    <w:rsid w:val="008D1CAF"/>
    <w:rsid w:val="008D344A"/>
    <w:rsid w:val="008D3F32"/>
    <w:rsid w:val="008D4DC8"/>
    <w:rsid w:val="008D6118"/>
    <w:rsid w:val="008E0321"/>
    <w:rsid w:val="008E0540"/>
    <w:rsid w:val="008E2E29"/>
    <w:rsid w:val="008E5653"/>
    <w:rsid w:val="008F11C5"/>
    <w:rsid w:val="009101CD"/>
    <w:rsid w:val="00913862"/>
    <w:rsid w:val="0092166D"/>
    <w:rsid w:val="009246B7"/>
    <w:rsid w:val="00925339"/>
    <w:rsid w:val="00925840"/>
    <w:rsid w:val="00926B62"/>
    <w:rsid w:val="00930296"/>
    <w:rsid w:val="0093360A"/>
    <w:rsid w:val="00934975"/>
    <w:rsid w:val="00955DCD"/>
    <w:rsid w:val="00957138"/>
    <w:rsid w:val="00961468"/>
    <w:rsid w:val="00962E4A"/>
    <w:rsid w:val="00964529"/>
    <w:rsid w:val="00964E8E"/>
    <w:rsid w:val="00965478"/>
    <w:rsid w:val="00965F74"/>
    <w:rsid w:val="009673D2"/>
    <w:rsid w:val="009714E6"/>
    <w:rsid w:val="009718A0"/>
    <w:rsid w:val="009724DA"/>
    <w:rsid w:val="00973E54"/>
    <w:rsid w:val="00974D16"/>
    <w:rsid w:val="00976CD7"/>
    <w:rsid w:val="009801DB"/>
    <w:rsid w:val="009809AC"/>
    <w:rsid w:val="00981D76"/>
    <w:rsid w:val="00982AFB"/>
    <w:rsid w:val="00993DE6"/>
    <w:rsid w:val="00994F9B"/>
    <w:rsid w:val="009952BE"/>
    <w:rsid w:val="009A2248"/>
    <w:rsid w:val="009A41C7"/>
    <w:rsid w:val="009B137E"/>
    <w:rsid w:val="009B2324"/>
    <w:rsid w:val="009B7F7C"/>
    <w:rsid w:val="009C3DC5"/>
    <w:rsid w:val="009C58D9"/>
    <w:rsid w:val="009C5908"/>
    <w:rsid w:val="009D02EE"/>
    <w:rsid w:val="009E1F90"/>
    <w:rsid w:val="009E43B1"/>
    <w:rsid w:val="009E50E3"/>
    <w:rsid w:val="009E5E99"/>
    <w:rsid w:val="009E7187"/>
    <w:rsid w:val="009F191F"/>
    <w:rsid w:val="009F732B"/>
    <w:rsid w:val="00A11B8D"/>
    <w:rsid w:val="00A126D2"/>
    <w:rsid w:val="00A163C9"/>
    <w:rsid w:val="00A16552"/>
    <w:rsid w:val="00A17192"/>
    <w:rsid w:val="00A17F86"/>
    <w:rsid w:val="00A21868"/>
    <w:rsid w:val="00A250B8"/>
    <w:rsid w:val="00A25FB2"/>
    <w:rsid w:val="00A26389"/>
    <w:rsid w:val="00A3113B"/>
    <w:rsid w:val="00A338FE"/>
    <w:rsid w:val="00A36E6B"/>
    <w:rsid w:val="00A372B8"/>
    <w:rsid w:val="00A411D1"/>
    <w:rsid w:val="00A51463"/>
    <w:rsid w:val="00A517D8"/>
    <w:rsid w:val="00A51F42"/>
    <w:rsid w:val="00A54027"/>
    <w:rsid w:val="00A630A3"/>
    <w:rsid w:val="00A67826"/>
    <w:rsid w:val="00A701D0"/>
    <w:rsid w:val="00A7070E"/>
    <w:rsid w:val="00A761A7"/>
    <w:rsid w:val="00A76B86"/>
    <w:rsid w:val="00A87A11"/>
    <w:rsid w:val="00A92AA2"/>
    <w:rsid w:val="00A94EAB"/>
    <w:rsid w:val="00A95C3E"/>
    <w:rsid w:val="00A97157"/>
    <w:rsid w:val="00AA0D2E"/>
    <w:rsid w:val="00AA428D"/>
    <w:rsid w:val="00AB38E3"/>
    <w:rsid w:val="00AC164A"/>
    <w:rsid w:val="00AC267D"/>
    <w:rsid w:val="00AC7119"/>
    <w:rsid w:val="00AD7B3F"/>
    <w:rsid w:val="00AE3B9E"/>
    <w:rsid w:val="00AF05D9"/>
    <w:rsid w:val="00AF139B"/>
    <w:rsid w:val="00AF355D"/>
    <w:rsid w:val="00AF3776"/>
    <w:rsid w:val="00AF41E6"/>
    <w:rsid w:val="00AF5953"/>
    <w:rsid w:val="00B0054A"/>
    <w:rsid w:val="00B00C90"/>
    <w:rsid w:val="00B03539"/>
    <w:rsid w:val="00B05E90"/>
    <w:rsid w:val="00B11D56"/>
    <w:rsid w:val="00B14D34"/>
    <w:rsid w:val="00B21326"/>
    <w:rsid w:val="00B219BA"/>
    <w:rsid w:val="00B23D9C"/>
    <w:rsid w:val="00B26049"/>
    <w:rsid w:val="00B35D3A"/>
    <w:rsid w:val="00B40708"/>
    <w:rsid w:val="00B40C8A"/>
    <w:rsid w:val="00B4713B"/>
    <w:rsid w:val="00B50922"/>
    <w:rsid w:val="00B53441"/>
    <w:rsid w:val="00B535EF"/>
    <w:rsid w:val="00B578A1"/>
    <w:rsid w:val="00B66764"/>
    <w:rsid w:val="00B735E5"/>
    <w:rsid w:val="00B75AAC"/>
    <w:rsid w:val="00B81F51"/>
    <w:rsid w:val="00B847D4"/>
    <w:rsid w:val="00B85645"/>
    <w:rsid w:val="00B86A1D"/>
    <w:rsid w:val="00B91CD4"/>
    <w:rsid w:val="00BA481D"/>
    <w:rsid w:val="00BA53DE"/>
    <w:rsid w:val="00BA589F"/>
    <w:rsid w:val="00BA5A14"/>
    <w:rsid w:val="00BB001F"/>
    <w:rsid w:val="00BB2C2B"/>
    <w:rsid w:val="00BB5D70"/>
    <w:rsid w:val="00BB71E9"/>
    <w:rsid w:val="00BC0C8E"/>
    <w:rsid w:val="00BC1BC7"/>
    <w:rsid w:val="00BC4461"/>
    <w:rsid w:val="00BD31C9"/>
    <w:rsid w:val="00BD39A3"/>
    <w:rsid w:val="00BE4282"/>
    <w:rsid w:val="00BE6587"/>
    <w:rsid w:val="00BF33CD"/>
    <w:rsid w:val="00C01921"/>
    <w:rsid w:val="00C01E96"/>
    <w:rsid w:val="00C12319"/>
    <w:rsid w:val="00C15AD5"/>
    <w:rsid w:val="00C16468"/>
    <w:rsid w:val="00C2197C"/>
    <w:rsid w:val="00C22C4B"/>
    <w:rsid w:val="00C23829"/>
    <w:rsid w:val="00C24159"/>
    <w:rsid w:val="00C24DD8"/>
    <w:rsid w:val="00C26A7A"/>
    <w:rsid w:val="00C36973"/>
    <w:rsid w:val="00C4018F"/>
    <w:rsid w:val="00C50C04"/>
    <w:rsid w:val="00C529D8"/>
    <w:rsid w:val="00C52AD3"/>
    <w:rsid w:val="00C537C8"/>
    <w:rsid w:val="00C642CF"/>
    <w:rsid w:val="00C64923"/>
    <w:rsid w:val="00C66007"/>
    <w:rsid w:val="00C66A63"/>
    <w:rsid w:val="00C716A9"/>
    <w:rsid w:val="00C71D46"/>
    <w:rsid w:val="00C758A3"/>
    <w:rsid w:val="00C7649F"/>
    <w:rsid w:val="00C77F5C"/>
    <w:rsid w:val="00C82A09"/>
    <w:rsid w:val="00C90A6F"/>
    <w:rsid w:val="00CA0587"/>
    <w:rsid w:val="00CA07C1"/>
    <w:rsid w:val="00CA1135"/>
    <w:rsid w:val="00CB3B0F"/>
    <w:rsid w:val="00CC2E45"/>
    <w:rsid w:val="00CC75BF"/>
    <w:rsid w:val="00CD0831"/>
    <w:rsid w:val="00CD2919"/>
    <w:rsid w:val="00CD451C"/>
    <w:rsid w:val="00CD593E"/>
    <w:rsid w:val="00CD5A01"/>
    <w:rsid w:val="00CE2137"/>
    <w:rsid w:val="00CF0CE6"/>
    <w:rsid w:val="00D02E9F"/>
    <w:rsid w:val="00D114D0"/>
    <w:rsid w:val="00D1175E"/>
    <w:rsid w:val="00D14EFE"/>
    <w:rsid w:val="00D166D7"/>
    <w:rsid w:val="00D2086F"/>
    <w:rsid w:val="00D2173A"/>
    <w:rsid w:val="00D21FD2"/>
    <w:rsid w:val="00D22B22"/>
    <w:rsid w:val="00D25654"/>
    <w:rsid w:val="00D26011"/>
    <w:rsid w:val="00D31F96"/>
    <w:rsid w:val="00D33300"/>
    <w:rsid w:val="00D33448"/>
    <w:rsid w:val="00D37F77"/>
    <w:rsid w:val="00D409F4"/>
    <w:rsid w:val="00D41FFC"/>
    <w:rsid w:val="00D5094D"/>
    <w:rsid w:val="00D514C1"/>
    <w:rsid w:val="00D530F4"/>
    <w:rsid w:val="00D54ED6"/>
    <w:rsid w:val="00D55B1E"/>
    <w:rsid w:val="00D55F73"/>
    <w:rsid w:val="00D575DE"/>
    <w:rsid w:val="00D5782F"/>
    <w:rsid w:val="00D64CC9"/>
    <w:rsid w:val="00D6786D"/>
    <w:rsid w:val="00D729A1"/>
    <w:rsid w:val="00D74D35"/>
    <w:rsid w:val="00D74E48"/>
    <w:rsid w:val="00D80C4A"/>
    <w:rsid w:val="00D8446D"/>
    <w:rsid w:val="00D8594C"/>
    <w:rsid w:val="00D91558"/>
    <w:rsid w:val="00D91D4A"/>
    <w:rsid w:val="00D92DCC"/>
    <w:rsid w:val="00D93C3F"/>
    <w:rsid w:val="00DA4340"/>
    <w:rsid w:val="00DA4A10"/>
    <w:rsid w:val="00DB667F"/>
    <w:rsid w:val="00DC325C"/>
    <w:rsid w:val="00DC3E8E"/>
    <w:rsid w:val="00DC3FE5"/>
    <w:rsid w:val="00DD0996"/>
    <w:rsid w:val="00DD215D"/>
    <w:rsid w:val="00DD3515"/>
    <w:rsid w:val="00DD3BAC"/>
    <w:rsid w:val="00DD3E0E"/>
    <w:rsid w:val="00DD43CF"/>
    <w:rsid w:val="00DE51E4"/>
    <w:rsid w:val="00DE623F"/>
    <w:rsid w:val="00DF246B"/>
    <w:rsid w:val="00DF5A0C"/>
    <w:rsid w:val="00DF5A97"/>
    <w:rsid w:val="00DF5B6D"/>
    <w:rsid w:val="00E018E1"/>
    <w:rsid w:val="00E01D84"/>
    <w:rsid w:val="00E06551"/>
    <w:rsid w:val="00E07256"/>
    <w:rsid w:val="00E11225"/>
    <w:rsid w:val="00E15397"/>
    <w:rsid w:val="00E15AF8"/>
    <w:rsid w:val="00E15B3C"/>
    <w:rsid w:val="00E15C8D"/>
    <w:rsid w:val="00E178D6"/>
    <w:rsid w:val="00E2366B"/>
    <w:rsid w:val="00E24FDF"/>
    <w:rsid w:val="00E26522"/>
    <w:rsid w:val="00E440A1"/>
    <w:rsid w:val="00E44DAB"/>
    <w:rsid w:val="00E51A7E"/>
    <w:rsid w:val="00E52BA4"/>
    <w:rsid w:val="00E539D6"/>
    <w:rsid w:val="00E54530"/>
    <w:rsid w:val="00E552A5"/>
    <w:rsid w:val="00E554EE"/>
    <w:rsid w:val="00E5633D"/>
    <w:rsid w:val="00E62D05"/>
    <w:rsid w:val="00E762A2"/>
    <w:rsid w:val="00E94B06"/>
    <w:rsid w:val="00E973BA"/>
    <w:rsid w:val="00EA3DC6"/>
    <w:rsid w:val="00EA5206"/>
    <w:rsid w:val="00EA578D"/>
    <w:rsid w:val="00EA6333"/>
    <w:rsid w:val="00EB01C3"/>
    <w:rsid w:val="00EB170C"/>
    <w:rsid w:val="00EB38C1"/>
    <w:rsid w:val="00EB3E04"/>
    <w:rsid w:val="00EB5855"/>
    <w:rsid w:val="00EB62F7"/>
    <w:rsid w:val="00EB6CAC"/>
    <w:rsid w:val="00EC30E7"/>
    <w:rsid w:val="00EC3C93"/>
    <w:rsid w:val="00EC4180"/>
    <w:rsid w:val="00EC4A7E"/>
    <w:rsid w:val="00EC7030"/>
    <w:rsid w:val="00ED0B69"/>
    <w:rsid w:val="00ED2D02"/>
    <w:rsid w:val="00ED75E1"/>
    <w:rsid w:val="00ED7DF7"/>
    <w:rsid w:val="00EE3324"/>
    <w:rsid w:val="00EF1080"/>
    <w:rsid w:val="00EF2378"/>
    <w:rsid w:val="00EF39E0"/>
    <w:rsid w:val="00EF69AF"/>
    <w:rsid w:val="00F00760"/>
    <w:rsid w:val="00F01933"/>
    <w:rsid w:val="00F03342"/>
    <w:rsid w:val="00F0408E"/>
    <w:rsid w:val="00F149D6"/>
    <w:rsid w:val="00F20573"/>
    <w:rsid w:val="00F2627D"/>
    <w:rsid w:val="00F271F2"/>
    <w:rsid w:val="00F327EC"/>
    <w:rsid w:val="00F32B00"/>
    <w:rsid w:val="00F33080"/>
    <w:rsid w:val="00F34A99"/>
    <w:rsid w:val="00F35A2E"/>
    <w:rsid w:val="00F371A0"/>
    <w:rsid w:val="00F4023A"/>
    <w:rsid w:val="00F47305"/>
    <w:rsid w:val="00F577EB"/>
    <w:rsid w:val="00F6506A"/>
    <w:rsid w:val="00F70230"/>
    <w:rsid w:val="00F719D0"/>
    <w:rsid w:val="00F7589F"/>
    <w:rsid w:val="00F762DB"/>
    <w:rsid w:val="00F81D91"/>
    <w:rsid w:val="00F86A9E"/>
    <w:rsid w:val="00F87682"/>
    <w:rsid w:val="00F91FA4"/>
    <w:rsid w:val="00F936C8"/>
    <w:rsid w:val="00F971A9"/>
    <w:rsid w:val="00F9735D"/>
    <w:rsid w:val="00F976D6"/>
    <w:rsid w:val="00F97C03"/>
    <w:rsid w:val="00FA3EA1"/>
    <w:rsid w:val="00FB286B"/>
    <w:rsid w:val="00FB4D40"/>
    <w:rsid w:val="00FC50ED"/>
    <w:rsid w:val="00FC5853"/>
    <w:rsid w:val="00FC73A7"/>
    <w:rsid w:val="00FD0979"/>
    <w:rsid w:val="00FD54DF"/>
    <w:rsid w:val="00FD6BE4"/>
    <w:rsid w:val="00FD7982"/>
    <w:rsid w:val="00FE1384"/>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1" w:defUnhideWhenUsed="1" w:defQFormat="0" w:count="267">
    <w:lsdException w:name="Normal" w:semiHidden="0" w:uiPriority="3" w:unhideWhenUsed="0" w:qFormat="1"/>
    <w:lsdException w:name="heading 1" w:semiHidden="0" w:uiPriority="1" w:unhideWhenUsed="0"/>
    <w:lsdException w:name="heading 2" w:semiHidden="0" w:uiPriority="1" w:unhideWhenUsed="0"/>
    <w:lsdException w:name="heading 3" w:semiHidden="0" w:uiPriority="1" w:unhideWhenUsed="0"/>
    <w:lsdException w:name="heading 4" w:semiHidden="0" w:uiPriority="1" w:unhideWhenUsed="0"/>
    <w:lsdException w:name="heading 5" w:unhideWhenUsed="0"/>
    <w:lsdException w:name="heading 6" w:unhideWhenUsed="0"/>
    <w:lsdException w:name="toc 1" w:uiPriority="39"/>
    <w:lsdException w:name="toc 2" w:uiPriority="39"/>
    <w:lsdException w:name="toc 3" w:uiPriority="39"/>
    <w:lsdException w:name="Normal Indent" w:qFormat="1"/>
    <w:lsdException w:name="List Number" w:semiHidden="0" w:unhideWhenUsed="0" w:qFormat="1"/>
    <w:lsdException w:name="List 4" w:unhideWhenUsed="0"/>
    <w:lsdException w:name="List 5" w:unhideWhenUsed="0"/>
    <w:lsdException w:name="Title" w:unhideWhenUsed="0"/>
    <w:lsdException w:name="Default Paragraph Font" w:uiPriority="1"/>
    <w:lsdException w:name="Subtitle" w:semiHidden="0" w:unhideWhenUsed="0"/>
    <w:lsdException w:name="Salutation" w:unhideWhenUsed="0"/>
    <w:lsdException w:name="Date" w:unhideWhenUsed="0"/>
    <w:lsdException w:name="Body Text First Indent"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uiPriority w:val="3"/>
    <w:qFormat/>
    <w:rsid w:val="009E5E99"/>
    <w:rPr>
      <w:szCs w:val="22"/>
      <w:lang w:eastAsia="en-US"/>
    </w:rPr>
  </w:style>
  <w:style w:type="paragraph" w:styleId="Rubrik1">
    <w:name w:val="heading 1"/>
    <w:basedOn w:val="Normal"/>
    <w:next w:val="Normal"/>
    <w:link w:val="Rubrik1Char"/>
    <w:uiPriority w:val="1"/>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link w:val="Rubrik3Char"/>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link w:val="SidfotChar"/>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qFormat/>
    <w:rsid w:val="001D6989"/>
    <w:pPr>
      <w:ind w:left="851"/>
    </w:pPr>
  </w:style>
  <w:style w:type="paragraph" w:styleId="Innehll1">
    <w:name w:val="toc 1"/>
    <w:basedOn w:val="Normal"/>
    <w:next w:val="Normal"/>
    <w:uiPriority w:val="39"/>
    <w:rsid w:val="00460CE7"/>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460CE7"/>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460CE7"/>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qFormat/>
    <w:rsid w:val="00460CE7"/>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qFormat/>
    <w:rsid w:val="00460CE7"/>
    <w:pPr>
      <w:numPr>
        <w:ilvl w:val="1"/>
      </w:numPr>
      <w:spacing w:before="280"/>
      <w:outlineLvl w:val="1"/>
    </w:pPr>
    <w:rPr>
      <w:sz w:val="24"/>
    </w:rPr>
  </w:style>
  <w:style w:type="paragraph" w:customStyle="1" w:styleId="Nr-Rubrik3">
    <w:name w:val="Nr-Rubrik3"/>
    <w:basedOn w:val="Normal"/>
    <w:next w:val="Normaltindrag"/>
    <w:rsid w:val="00460CE7"/>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link w:val="FotnotstextChar"/>
    <w:semiHidden/>
    <w:rsid w:val="001D6989"/>
    <w:pPr>
      <w:spacing w:before="60" w:line="240" w:lineRule="auto"/>
    </w:pPr>
    <w:rPr>
      <w:sz w:val="20"/>
      <w:szCs w:val="20"/>
    </w:rPr>
  </w:style>
  <w:style w:type="paragraph" w:styleId="Underrubrik">
    <w:name w:val="Subtitle"/>
    <w:basedOn w:val="Normal"/>
    <w:link w:val="UnderrubrikChar"/>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460CE7"/>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link w:val="DokumentversiktChar"/>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rsid w:val="00FC5853"/>
    <w:rPr>
      <w:i/>
      <w:iCs/>
    </w:rPr>
  </w:style>
  <w:style w:type="character" w:styleId="Bokenstitel">
    <w:name w:val="Book Title"/>
    <w:basedOn w:val="Standardstycketeckensnitt"/>
    <w:uiPriority w:val="33"/>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rsid w:val="00FC5853"/>
    <w:rPr>
      <w:i/>
      <w:iCs/>
      <w:color w:val="000000" w:themeColor="text1"/>
    </w:rPr>
  </w:style>
  <w:style w:type="character" w:customStyle="1" w:styleId="CitatChar">
    <w:name w:val="Citat Char"/>
    <w:basedOn w:val="Standardstycketeckensnitt"/>
    <w:link w:val="Citat"/>
    <w:uiPriority w:val="29"/>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rsid w:val="00FC5853"/>
    <w:rPr>
      <w:i/>
      <w:iCs/>
      <w:color w:val="808080" w:themeColor="text1" w:themeTint="7F"/>
    </w:rPr>
  </w:style>
  <w:style w:type="character" w:styleId="Diskretreferens">
    <w:name w:val="Subtle Reference"/>
    <w:basedOn w:val="Standardstycketeckensnitt"/>
    <w:uiPriority w:val="31"/>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rsid w:val="00FC5853"/>
    <w:rPr>
      <w:b/>
      <w:bCs/>
    </w:rPr>
  </w:style>
  <w:style w:type="character" w:styleId="Starkbetoning">
    <w:name w:val="Intense Emphasis"/>
    <w:basedOn w:val="Standardstycketeckensnitt"/>
    <w:uiPriority w:val="21"/>
    <w:rsid w:val="00FC5853"/>
    <w:rPr>
      <w:b/>
      <w:bCs/>
      <w:i/>
      <w:iCs/>
      <w:color w:val="0088A9" w:themeColor="accent1"/>
    </w:rPr>
  </w:style>
  <w:style w:type="character" w:styleId="Starkreferens">
    <w:name w:val="Intense Reference"/>
    <w:basedOn w:val="Standardstycketeckensnitt"/>
    <w:uiPriority w:val="32"/>
    <w:rsid w:val="00FC5853"/>
    <w:rPr>
      <w:b/>
      <w:bCs/>
      <w:smallCaps/>
      <w:color w:val="002147" w:themeColor="accent2"/>
      <w:spacing w:val="5"/>
      <w:u w:val="single"/>
    </w:rPr>
  </w:style>
  <w:style w:type="paragraph" w:styleId="Starktcitat">
    <w:name w:val="Intense Quote"/>
    <w:basedOn w:val="Normal"/>
    <w:next w:val="Normal"/>
    <w:link w:val="StarktcitatChar"/>
    <w:uiPriority w:val="30"/>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uiPriority w:val="1"/>
    <w:rsid w:val="00825F30"/>
    <w:rPr>
      <w:rFonts w:ascii="Century Gothic" w:hAnsi="Century Gothic" w:cs="Arial"/>
      <w:bCs/>
      <w:lang w:eastAsia="en-US"/>
    </w:rPr>
  </w:style>
  <w:style w:type="character" w:customStyle="1" w:styleId="Rubrik2Char">
    <w:name w:val="Rubrik 2 Char"/>
    <w:basedOn w:val="Standardstycketeckensnitt"/>
    <w:link w:val="Rubrik2"/>
    <w:uiPriority w:val="1"/>
    <w:semiHidden/>
    <w:rsid w:val="00825F30"/>
    <w:rPr>
      <w:rFonts w:ascii="Century Gothic" w:hAnsi="Century Gothic" w:cs="Arial"/>
      <w:bCs/>
      <w:iCs/>
      <w:sz w:val="22"/>
      <w:lang w:eastAsia="en-US"/>
    </w:rPr>
  </w:style>
  <w:style w:type="character" w:customStyle="1" w:styleId="Rubrik3Char">
    <w:name w:val="Rubrik 3 Char"/>
    <w:basedOn w:val="Standardstycketeckensnitt"/>
    <w:link w:val="Rubrik3"/>
    <w:uiPriority w:val="1"/>
    <w:semiHidden/>
    <w:rsid w:val="00825F30"/>
    <w:rPr>
      <w:rFonts w:ascii="Century Gothic" w:hAnsi="Century Gothic" w:cs="Arial"/>
      <w:bCs/>
      <w:sz w:val="20"/>
      <w:szCs w:val="20"/>
      <w:lang w:eastAsia="en-US"/>
    </w:rPr>
  </w:style>
  <w:style w:type="character" w:customStyle="1" w:styleId="Rubrik4Char">
    <w:name w:val="Rubrik 4 Char"/>
    <w:basedOn w:val="Standardstycketeckensnitt"/>
    <w:link w:val="Rubrik4"/>
    <w:uiPriority w:val="1"/>
    <w:semiHidden/>
    <w:rsid w:val="00825F30"/>
    <w:rPr>
      <w:rFonts w:ascii="Century Gothic" w:hAnsi="Century Gothic"/>
      <w:sz w:val="20"/>
      <w:szCs w:val="22"/>
      <w:lang w:eastAsia="en-US"/>
    </w:rPr>
  </w:style>
  <w:style w:type="character" w:customStyle="1" w:styleId="SidfotChar">
    <w:name w:val="Sidfot Char"/>
    <w:basedOn w:val="Standardstycketeckensnitt"/>
    <w:link w:val="Sidfot"/>
    <w:semiHidden/>
    <w:rsid w:val="00825F30"/>
    <w:rPr>
      <w:sz w:val="12"/>
      <w:szCs w:val="10"/>
      <w:lang w:eastAsia="en-US"/>
    </w:rPr>
  </w:style>
  <w:style w:type="character" w:customStyle="1" w:styleId="FotnotstextChar">
    <w:name w:val="Fotnotstext Char"/>
    <w:basedOn w:val="Standardstycketeckensnitt"/>
    <w:link w:val="Fotnotstext"/>
    <w:semiHidden/>
    <w:rsid w:val="00825F30"/>
    <w:rPr>
      <w:sz w:val="20"/>
      <w:szCs w:val="20"/>
      <w:lang w:eastAsia="en-US"/>
    </w:rPr>
  </w:style>
  <w:style w:type="character" w:customStyle="1" w:styleId="UnderrubrikChar">
    <w:name w:val="Underrubrik Char"/>
    <w:basedOn w:val="Standardstycketeckensnitt"/>
    <w:link w:val="Underrubrik"/>
    <w:rsid w:val="00825F30"/>
    <w:rPr>
      <w:rFonts w:ascii="Arial" w:hAnsi="Arial" w:cs="Arial"/>
      <w:szCs w:val="22"/>
      <w:lang w:eastAsia="en-US"/>
    </w:rPr>
  </w:style>
  <w:style w:type="character" w:customStyle="1" w:styleId="DokumentversiktChar">
    <w:name w:val="Dokumentöversikt Char"/>
    <w:basedOn w:val="Standardstycketeckensnitt"/>
    <w:link w:val="Dokumentversikt"/>
    <w:semiHidden/>
    <w:rsid w:val="00825F30"/>
    <w:rPr>
      <w:rFonts w:ascii="Arial Narrow" w:hAnsi="Arial Narrow" w:cs="Tahoma"/>
      <w:color w:val="0000FF"/>
      <w:sz w:val="18"/>
      <w:szCs w:val="18"/>
      <w:shd w:val="clear" w:color="auto" w:fill="000080"/>
      <w:lang w:eastAsia="en-US"/>
    </w:rPr>
  </w:style>
  <w:style w:type="paragraph" w:customStyle="1" w:styleId="Default">
    <w:name w:val="Default"/>
    <w:rsid w:val="00F32B00"/>
    <w:pPr>
      <w:autoSpaceDE w:val="0"/>
      <w:autoSpaceDN w:val="0"/>
      <w:adjustRightInd w:val="0"/>
      <w:spacing w:before="0" w:line="240" w:lineRule="auto"/>
    </w:pPr>
    <w:rPr>
      <w:rFonts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1" w:defUnhideWhenUsed="1" w:defQFormat="0" w:count="267">
    <w:lsdException w:name="Normal" w:semiHidden="0" w:uiPriority="3" w:unhideWhenUsed="0" w:qFormat="1"/>
    <w:lsdException w:name="heading 1" w:semiHidden="0" w:uiPriority="1" w:unhideWhenUsed="0"/>
    <w:lsdException w:name="heading 2" w:semiHidden="0" w:uiPriority="1" w:unhideWhenUsed="0"/>
    <w:lsdException w:name="heading 3" w:semiHidden="0" w:uiPriority="1" w:unhideWhenUsed="0"/>
    <w:lsdException w:name="heading 4" w:semiHidden="0" w:uiPriority="1" w:unhideWhenUsed="0"/>
    <w:lsdException w:name="heading 5" w:unhideWhenUsed="0"/>
    <w:lsdException w:name="heading 6" w:unhideWhenUsed="0"/>
    <w:lsdException w:name="toc 1" w:uiPriority="39"/>
    <w:lsdException w:name="toc 2" w:uiPriority="39"/>
    <w:lsdException w:name="toc 3" w:uiPriority="39"/>
    <w:lsdException w:name="Normal Indent" w:qFormat="1"/>
    <w:lsdException w:name="List Number" w:semiHidden="0" w:unhideWhenUsed="0" w:qFormat="1"/>
    <w:lsdException w:name="List 4" w:unhideWhenUsed="0"/>
    <w:lsdException w:name="List 5" w:unhideWhenUsed="0"/>
    <w:lsdException w:name="Title" w:unhideWhenUsed="0"/>
    <w:lsdException w:name="Default Paragraph Font" w:uiPriority="1"/>
    <w:lsdException w:name="Subtitle" w:semiHidden="0" w:unhideWhenUsed="0"/>
    <w:lsdException w:name="Salutation" w:unhideWhenUsed="0"/>
    <w:lsdException w:name="Date" w:unhideWhenUsed="0"/>
    <w:lsdException w:name="Body Text First Indent" w:unhideWhenUsed="0"/>
    <w:lsdException w:name="Hyperlink" w:uiPriority="99"/>
    <w:lsdException w:name="Strong" w:unhideWhenUsed="0"/>
    <w:lsdException w:name="Emphasis"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uiPriority w:val="3"/>
    <w:qFormat/>
    <w:rsid w:val="009E5E99"/>
    <w:rPr>
      <w:szCs w:val="22"/>
      <w:lang w:eastAsia="en-US"/>
    </w:rPr>
  </w:style>
  <w:style w:type="paragraph" w:styleId="Rubrik1">
    <w:name w:val="heading 1"/>
    <w:basedOn w:val="Normal"/>
    <w:next w:val="Normal"/>
    <w:link w:val="Rubrik1Char"/>
    <w:uiPriority w:val="1"/>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link w:val="Rubrik3Char"/>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link w:val="SidfotChar"/>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qFormat/>
    <w:rsid w:val="001D6989"/>
    <w:pPr>
      <w:ind w:left="851"/>
    </w:pPr>
  </w:style>
  <w:style w:type="paragraph" w:styleId="Innehll1">
    <w:name w:val="toc 1"/>
    <w:basedOn w:val="Normal"/>
    <w:next w:val="Normal"/>
    <w:uiPriority w:val="39"/>
    <w:rsid w:val="00460CE7"/>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460CE7"/>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460CE7"/>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qFormat/>
    <w:rsid w:val="00460CE7"/>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qFormat/>
    <w:rsid w:val="00460CE7"/>
    <w:pPr>
      <w:numPr>
        <w:ilvl w:val="1"/>
      </w:numPr>
      <w:spacing w:before="280"/>
      <w:outlineLvl w:val="1"/>
    </w:pPr>
    <w:rPr>
      <w:sz w:val="24"/>
    </w:rPr>
  </w:style>
  <w:style w:type="paragraph" w:customStyle="1" w:styleId="Nr-Rubrik3">
    <w:name w:val="Nr-Rubrik3"/>
    <w:basedOn w:val="Normal"/>
    <w:next w:val="Normaltindrag"/>
    <w:rsid w:val="00460CE7"/>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link w:val="FotnotstextChar"/>
    <w:semiHidden/>
    <w:rsid w:val="001D6989"/>
    <w:pPr>
      <w:spacing w:before="60" w:line="240" w:lineRule="auto"/>
    </w:pPr>
    <w:rPr>
      <w:sz w:val="20"/>
      <w:szCs w:val="20"/>
    </w:rPr>
  </w:style>
  <w:style w:type="paragraph" w:styleId="Underrubrik">
    <w:name w:val="Subtitle"/>
    <w:basedOn w:val="Normal"/>
    <w:link w:val="UnderrubrikChar"/>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460CE7"/>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link w:val="DokumentversiktChar"/>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rsid w:val="00FC5853"/>
    <w:rPr>
      <w:i/>
      <w:iCs/>
    </w:rPr>
  </w:style>
  <w:style w:type="character" w:styleId="Bokenstitel">
    <w:name w:val="Book Title"/>
    <w:basedOn w:val="Standardstycketeckensnitt"/>
    <w:uiPriority w:val="33"/>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rsid w:val="00FC5853"/>
    <w:rPr>
      <w:i/>
      <w:iCs/>
      <w:color w:val="000000" w:themeColor="text1"/>
    </w:rPr>
  </w:style>
  <w:style w:type="character" w:customStyle="1" w:styleId="CitatChar">
    <w:name w:val="Citat Char"/>
    <w:basedOn w:val="Standardstycketeckensnitt"/>
    <w:link w:val="Citat"/>
    <w:uiPriority w:val="29"/>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rsid w:val="00FC5853"/>
    <w:rPr>
      <w:i/>
      <w:iCs/>
      <w:color w:val="808080" w:themeColor="text1" w:themeTint="7F"/>
    </w:rPr>
  </w:style>
  <w:style w:type="character" w:styleId="Diskretreferens">
    <w:name w:val="Subtle Reference"/>
    <w:basedOn w:val="Standardstycketeckensnitt"/>
    <w:uiPriority w:val="31"/>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rsid w:val="00FC5853"/>
    <w:rPr>
      <w:b/>
      <w:bCs/>
    </w:rPr>
  </w:style>
  <w:style w:type="character" w:styleId="Starkbetoning">
    <w:name w:val="Intense Emphasis"/>
    <w:basedOn w:val="Standardstycketeckensnitt"/>
    <w:uiPriority w:val="21"/>
    <w:rsid w:val="00FC5853"/>
    <w:rPr>
      <w:b/>
      <w:bCs/>
      <w:i/>
      <w:iCs/>
      <w:color w:val="0088A9" w:themeColor="accent1"/>
    </w:rPr>
  </w:style>
  <w:style w:type="character" w:styleId="Starkreferens">
    <w:name w:val="Intense Reference"/>
    <w:basedOn w:val="Standardstycketeckensnitt"/>
    <w:uiPriority w:val="32"/>
    <w:rsid w:val="00FC5853"/>
    <w:rPr>
      <w:b/>
      <w:bCs/>
      <w:smallCaps/>
      <w:color w:val="002147" w:themeColor="accent2"/>
      <w:spacing w:val="5"/>
      <w:u w:val="single"/>
    </w:rPr>
  </w:style>
  <w:style w:type="paragraph" w:styleId="Starktcitat">
    <w:name w:val="Intense Quote"/>
    <w:basedOn w:val="Normal"/>
    <w:next w:val="Normal"/>
    <w:link w:val="StarktcitatChar"/>
    <w:uiPriority w:val="30"/>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uiPriority w:val="1"/>
    <w:rsid w:val="00825F30"/>
    <w:rPr>
      <w:rFonts w:ascii="Century Gothic" w:hAnsi="Century Gothic" w:cs="Arial"/>
      <w:bCs/>
      <w:lang w:eastAsia="en-US"/>
    </w:rPr>
  </w:style>
  <w:style w:type="character" w:customStyle="1" w:styleId="Rubrik2Char">
    <w:name w:val="Rubrik 2 Char"/>
    <w:basedOn w:val="Standardstycketeckensnitt"/>
    <w:link w:val="Rubrik2"/>
    <w:uiPriority w:val="1"/>
    <w:semiHidden/>
    <w:rsid w:val="00825F30"/>
    <w:rPr>
      <w:rFonts w:ascii="Century Gothic" w:hAnsi="Century Gothic" w:cs="Arial"/>
      <w:bCs/>
      <w:iCs/>
      <w:sz w:val="22"/>
      <w:lang w:eastAsia="en-US"/>
    </w:rPr>
  </w:style>
  <w:style w:type="character" w:customStyle="1" w:styleId="Rubrik3Char">
    <w:name w:val="Rubrik 3 Char"/>
    <w:basedOn w:val="Standardstycketeckensnitt"/>
    <w:link w:val="Rubrik3"/>
    <w:uiPriority w:val="1"/>
    <w:semiHidden/>
    <w:rsid w:val="00825F30"/>
    <w:rPr>
      <w:rFonts w:ascii="Century Gothic" w:hAnsi="Century Gothic" w:cs="Arial"/>
      <w:bCs/>
      <w:sz w:val="20"/>
      <w:szCs w:val="20"/>
      <w:lang w:eastAsia="en-US"/>
    </w:rPr>
  </w:style>
  <w:style w:type="character" w:customStyle="1" w:styleId="Rubrik4Char">
    <w:name w:val="Rubrik 4 Char"/>
    <w:basedOn w:val="Standardstycketeckensnitt"/>
    <w:link w:val="Rubrik4"/>
    <w:uiPriority w:val="1"/>
    <w:semiHidden/>
    <w:rsid w:val="00825F30"/>
    <w:rPr>
      <w:rFonts w:ascii="Century Gothic" w:hAnsi="Century Gothic"/>
      <w:sz w:val="20"/>
      <w:szCs w:val="22"/>
      <w:lang w:eastAsia="en-US"/>
    </w:rPr>
  </w:style>
  <w:style w:type="character" w:customStyle="1" w:styleId="SidfotChar">
    <w:name w:val="Sidfot Char"/>
    <w:basedOn w:val="Standardstycketeckensnitt"/>
    <w:link w:val="Sidfot"/>
    <w:semiHidden/>
    <w:rsid w:val="00825F30"/>
    <w:rPr>
      <w:sz w:val="12"/>
      <w:szCs w:val="10"/>
      <w:lang w:eastAsia="en-US"/>
    </w:rPr>
  </w:style>
  <w:style w:type="character" w:customStyle="1" w:styleId="FotnotstextChar">
    <w:name w:val="Fotnotstext Char"/>
    <w:basedOn w:val="Standardstycketeckensnitt"/>
    <w:link w:val="Fotnotstext"/>
    <w:semiHidden/>
    <w:rsid w:val="00825F30"/>
    <w:rPr>
      <w:sz w:val="20"/>
      <w:szCs w:val="20"/>
      <w:lang w:eastAsia="en-US"/>
    </w:rPr>
  </w:style>
  <w:style w:type="character" w:customStyle="1" w:styleId="UnderrubrikChar">
    <w:name w:val="Underrubrik Char"/>
    <w:basedOn w:val="Standardstycketeckensnitt"/>
    <w:link w:val="Underrubrik"/>
    <w:rsid w:val="00825F30"/>
    <w:rPr>
      <w:rFonts w:ascii="Arial" w:hAnsi="Arial" w:cs="Arial"/>
      <w:szCs w:val="22"/>
      <w:lang w:eastAsia="en-US"/>
    </w:rPr>
  </w:style>
  <w:style w:type="character" w:customStyle="1" w:styleId="DokumentversiktChar">
    <w:name w:val="Dokumentöversikt Char"/>
    <w:basedOn w:val="Standardstycketeckensnitt"/>
    <w:link w:val="Dokumentversikt"/>
    <w:semiHidden/>
    <w:rsid w:val="00825F30"/>
    <w:rPr>
      <w:rFonts w:ascii="Arial Narrow" w:hAnsi="Arial Narrow" w:cs="Tahoma"/>
      <w:color w:val="0000FF"/>
      <w:sz w:val="18"/>
      <w:szCs w:val="18"/>
      <w:shd w:val="clear" w:color="auto" w:fill="000080"/>
      <w:lang w:eastAsia="en-US"/>
    </w:rPr>
  </w:style>
  <w:style w:type="paragraph" w:customStyle="1" w:styleId="Default">
    <w:name w:val="Default"/>
    <w:rsid w:val="00F32B00"/>
    <w:pPr>
      <w:autoSpaceDE w:val="0"/>
      <w:autoSpaceDN w:val="0"/>
      <w:adjustRightInd w:val="0"/>
      <w:spacing w:before="0" w:line="240" w:lineRule="auto"/>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4.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3.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glossaryDocument" Target="glossary/document.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2.xml" />
</Relationships>
</file>

<file path=word/glossary/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1DE5223F-0485-49AA-AAEB-A1B9A2B505DE}"/>
      </w:docPartPr>
      <w:docPartBody>
        <w:p w:rsidR="00630B5B" w:rsidRDefault="00B6444B">
          <w:r w:rsidRPr="0005318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4B"/>
    <w:rsid w:val="000C5D01"/>
    <w:rsid w:val="0015060C"/>
    <w:rsid w:val="00302FC4"/>
    <w:rsid w:val="00594A70"/>
    <w:rsid w:val="00630B5B"/>
    <w:rsid w:val="006B764A"/>
    <w:rsid w:val="00842603"/>
    <w:rsid w:val="00855DE8"/>
    <w:rsid w:val="00891699"/>
    <w:rsid w:val="009D150C"/>
    <w:rsid w:val="00A6505A"/>
    <w:rsid w:val="00AB5C88"/>
    <w:rsid w:val="00B6444B"/>
    <w:rsid w:val="00B6768C"/>
    <w:rsid w:val="00C22D7B"/>
    <w:rsid w:val="00ED657B"/>
    <w:rsid w:val="00F047A8"/>
    <w:rsid w:val="00F93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44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44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7088-A01F-4C1C-B69E-329FE3F0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5298</Words>
  <Characters>33063</Characters>
  <Application>Microsoft Office Word</Application>
  <DocSecurity>0</DocSecurity>
  <Lines>590</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